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E2" w:rsidRPr="00AE6AA0" w:rsidRDefault="00C838E2" w:rsidP="00C838E2">
      <w:pPr>
        <w:spacing w:after="120"/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MODEL </w:t>
      </w:r>
      <w:r>
        <w:rPr>
          <w:rFonts w:ascii="Arial" w:hAnsi="Arial" w:cs="Arial"/>
          <w:b/>
          <w:bCs/>
        </w:rPr>
        <w:t>EXPEDIENT DE RUÏNA DE NÍNXOLS</w:t>
      </w:r>
    </w:p>
    <w:p w:rsidR="00C838E2" w:rsidRDefault="00C838E2" w:rsidP="00C838E2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Reglament de policia sanitària mortuòria (d’ara endavant RPSM) estableix que les fosses, els nínxols i els mausoleus que amenacin ruïna s’han de declarar en aquest estat per mitjà d’un expedient contradictori, és a dir: abans de procedir a l’enderroc cal tramitar un expedient administratiu de ruïna de les unitats d’enterrament afectades.</w:t>
      </w:r>
    </w:p>
    <w:p w:rsidR="00C838E2" w:rsidRDefault="00C838E2" w:rsidP="00C838E2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Entenem per ruïna aquelles construccions que no puguin ser reparades per mitjans normals o quan el cost de la reparació sigui superior al 50 % del cost estimat en preus actuals per a la seva construcció.</w:t>
      </w:r>
    </w:p>
    <w:p w:rsidR="00C838E2" w:rsidRDefault="00C838E2" w:rsidP="00C838E2">
      <w:pPr>
        <w:spacing w:after="120"/>
        <w:jc w:val="both"/>
        <w:rPr>
          <w:rFonts w:ascii="Arial" w:hAnsi="Arial" w:cs="Arial"/>
          <w:bCs/>
        </w:rPr>
      </w:pPr>
      <w:r w:rsidRPr="00BE3E22">
        <w:rPr>
          <w:rFonts w:ascii="Arial" w:hAnsi="Arial" w:cs="Arial"/>
          <w:bCs/>
          <w:u w:val="single"/>
        </w:rPr>
        <w:t>Com tramitar un expedient de ruïna</w:t>
      </w:r>
      <w:r w:rsidRPr="000551F3">
        <w:rPr>
          <w:rFonts w:ascii="Arial" w:hAnsi="Arial" w:cs="Arial"/>
          <w:bCs/>
        </w:rPr>
        <w:t>?</w:t>
      </w:r>
      <w:r>
        <w:rPr>
          <w:rFonts w:ascii="Arial" w:hAnsi="Arial" w:cs="Arial"/>
          <w:bCs/>
        </w:rPr>
        <w:t xml:space="preserve"> En cas que el reglament del cementiri municipal no ho prevegi, cal seguir el procediment establert a l’article 51 de l’RPSM i als articles 79 a 97 del Decret 64/2014, de 13 de maig, pel qual s’aprova el Reglament sobre protecció de la legalitat urbanística (d’ara endavant RPL).</w:t>
      </w:r>
    </w:p>
    <w:p w:rsidR="00C838E2" w:rsidRDefault="00C838E2" w:rsidP="00C838E2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continuació es detallen les diferents fases de l’expedient:</w:t>
      </w:r>
    </w:p>
    <w:p w:rsidR="00C838E2" w:rsidRDefault="00C838E2" w:rsidP="00C838E2">
      <w:pPr>
        <w:pStyle w:val="Prrafodelista"/>
        <w:numPr>
          <w:ilvl w:val="0"/>
          <w:numId w:val="1"/>
        </w:numPr>
        <w:spacing w:after="120"/>
        <w:ind w:left="284" w:firstLine="0"/>
        <w:jc w:val="both"/>
        <w:rPr>
          <w:bCs/>
        </w:rPr>
      </w:pPr>
      <w:r w:rsidRPr="00A265C6">
        <w:rPr>
          <w:b/>
          <w:bCs/>
        </w:rPr>
        <w:t>Informe dels serveis tècnics municipals</w:t>
      </w:r>
      <w:r>
        <w:rPr>
          <w:bCs/>
        </w:rPr>
        <w:t>, que ha d’incloure:</w:t>
      </w:r>
    </w:p>
    <w:p w:rsidR="00C838E2" w:rsidRPr="00E012C3" w:rsidRDefault="00C838E2" w:rsidP="00C838E2">
      <w:pPr>
        <w:pStyle w:val="Prrafodelista"/>
        <w:numPr>
          <w:ilvl w:val="0"/>
          <w:numId w:val="2"/>
        </w:numPr>
        <w:spacing w:after="0"/>
        <w:ind w:left="1134"/>
        <w:jc w:val="both"/>
        <w:rPr>
          <w:bCs/>
        </w:rPr>
      </w:pPr>
      <w:r w:rsidRPr="00E012C3">
        <w:rPr>
          <w:bCs/>
        </w:rPr>
        <w:t>L’estat físic de l’immoble, les causes que l’han provocat i les obres necessàries per reparar els danys que pateix. Cal detallar: l’àmbit físic de la declaració de ruïna</w:t>
      </w:r>
      <w:r w:rsidRPr="007B4068">
        <w:rPr>
          <w:rStyle w:val="Refdenotaalpie"/>
          <w:rFonts w:asciiTheme="minorHAnsi" w:hAnsiTheme="minorHAnsi" w:cstheme="minorBidi"/>
          <w:sz w:val="20"/>
          <w:szCs w:val="20"/>
        </w:rPr>
        <w:footnoteReference w:id="1"/>
      </w:r>
      <w:r w:rsidRPr="00E012C3">
        <w:rPr>
          <w:bCs/>
        </w:rPr>
        <w:t xml:space="preserve">, la descripció detallada de les parts constructives dels nínxols, la </w:t>
      </w:r>
      <w:r>
        <w:rPr>
          <w:bCs/>
        </w:rPr>
        <w:t>r</w:t>
      </w:r>
      <w:r w:rsidRPr="00E012C3">
        <w:rPr>
          <w:bCs/>
        </w:rPr>
        <w:t>elació detallada de les patologies detectades, el càlcul estimatiu de la construcció actual i l’estimació del cost de la reparació</w:t>
      </w:r>
      <w:r>
        <w:rPr>
          <w:bCs/>
        </w:rPr>
        <w:t>.</w:t>
      </w:r>
    </w:p>
    <w:p w:rsidR="00C838E2" w:rsidRPr="00E012C3" w:rsidRDefault="00C838E2" w:rsidP="00C838E2">
      <w:pPr>
        <w:pStyle w:val="Prrafodelista"/>
        <w:numPr>
          <w:ilvl w:val="0"/>
          <w:numId w:val="2"/>
        </w:numPr>
        <w:spacing w:after="120"/>
        <w:ind w:left="1134"/>
        <w:jc w:val="both"/>
        <w:rPr>
          <w:bCs/>
        </w:rPr>
      </w:pPr>
      <w:r>
        <w:rPr>
          <w:bCs/>
        </w:rPr>
        <w:t>La conveniència de la declaració de ruïna.</w:t>
      </w:r>
    </w:p>
    <w:p w:rsidR="00C838E2" w:rsidRDefault="00C838E2" w:rsidP="00C838E2">
      <w:pPr>
        <w:pStyle w:val="Prrafodelista"/>
        <w:numPr>
          <w:ilvl w:val="0"/>
          <w:numId w:val="2"/>
        </w:numPr>
        <w:spacing w:after="120"/>
        <w:ind w:left="1134"/>
        <w:jc w:val="both"/>
        <w:rPr>
          <w:bCs/>
        </w:rPr>
      </w:pPr>
      <w:r w:rsidRPr="00E012C3">
        <w:rPr>
          <w:bCs/>
        </w:rPr>
        <w:t xml:space="preserve">Les mesures que no admetin demora </w:t>
      </w:r>
      <w:r>
        <w:rPr>
          <w:bCs/>
        </w:rPr>
        <w:t xml:space="preserve">i </w:t>
      </w:r>
      <w:r w:rsidRPr="00E012C3">
        <w:rPr>
          <w:bCs/>
        </w:rPr>
        <w:t>que calgui adoptar per protegir la salut de les persones i la seguretat de les persones i les coses.</w:t>
      </w:r>
    </w:p>
    <w:p w:rsidR="00C838E2" w:rsidRDefault="00C838E2" w:rsidP="00C838E2">
      <w:pPr>
        <w:pStyle w:val="Prrafodelista"/>
        <w:spacing w:after="120"/>
        <w:ind w:left="0"/>
        <w:jc w:val="both"/>
        <w:rPr>
          <w:bCs/>
        </w:rPr>
      </w:pPr>
    </w:p>
    <w:p w:rsidR="00C838E2" w:rsidRPr="000551F3" w:rsidRDefault="00C838E2" w:rsidP="00C838E2">
      <w:pPr>
        <w:pStyle w:val="Prrafodelista"/>
        <w:numPr>
          <w:ilvl w:val="0"/>
          <w:numId w:val="1"/>
        </w:numPr>
        <w:spacing w:after="120"/>
        <w:jc w:val="both"/>
        <w:rPr>
          <w:b/>
          <w:bCs/>
        </w:rPr>
      </w:pPr>
      <w:r w:rsidRPr="000551F3">
        <w:rPr>
          <w:b/>
          <w:bCs/>
        </w:rPr>
        <w:t xml:space="preserve">Acord o resolució de l’òrgan competent d’inici de l’expedient de ruïna de les sepultures afectades </w:t>
      </w:r>
      <w:r w:rsidRPr="009B6046">
        <w:rPr>
          <w:bCs/>
        </w:rPr>
        <w:t>(</w:t>
      </w:r>
      <w:r w:rsidRPr="000551F3">
        <w:rPr>
          <w:bCs/>
        </w:rPr>
        <w:t>si no n’hi ha, s’arxiven les actuacions</w:t>
      </w:r>
      <w:r w:rsidRPr="009B6046">
        <w:rPr>
          <w:bCs/>
        </w:rPr>
        <w:t xml:space="preserve">), que </w:t>
      </w:r>
      <w:r w:rsidRPr="004834FA">
        <w:rPr>
          <w:bCs/>
        </w:rPr>
        <w:t>h</w:t>
      </w:r>
      <w:r w:rsidRPr="000551F3">
        <w:rPr>
          <w:bCs/>
        </w:rPr>
        <w:t>a de contenir:</w:t>
      </w:r>
    </w:p>
    <w:p w:rsidR="00C838E2" w:rsidRPr="007B4068" w:rsidRDefault="00C838E2" w:rsidP="00C838E2">
      <w:pPr>
        <w:pStyle w:val="Prrafodelista"/>
        <w:numPr>
          <w:ilvl w:val="0"/>
          <w:numId w:val="2"/>
        </w:numPr>
        <w:spacing w:after="120"/>
        <w:ind w:left="1134" w:hanging="357"/>
        <w:jc w:val="both"/>
        <w:rPr>
          <w:bCs/>
        </w:rPr>
      </w:pPr>
      <w:r w:rsidRPr="007B4068">
        <w:rPr>
          <w:bCs/>
        </w:rPr>
        <w:t>El trasllat literal de l’informe dels serveis tècnics municipals</w:t>
      </w:r>
      <w:r>
        <w:rPr>
          <w:bCs/>
        </w:rPr>
        <w:t>.</w:t>
      </w:r>
    </w:p>
    <w:p w:rsidR="00C838E2" w:rsidRPr="007B4068" w:rsidRDefault="00C838E2" w:rsidP="00C838E2">
      <w:pPr>
        <w:pStyle w:val="Prrafodelista"/>
        <w:numPr>
          <w:ilvl w:val="0"/>
          <w:numId w:val="2"/>
        </w:numPr>
        <w:spacing w:after="120"/>
        <w:ind w:left="1134" w:hanging="357"/>
        <w:jc w:val="both"/>
        <w:rPr>
          <w:bCs/>
        </w:rPr>
      </w:pPr>
      <w:r w:rsidRPr="007B4068">
        <w:rPr>
          <w:bCs/>
        </w:rPr>
        <w:t>La identificació de les sepultures afectades.</w:t>
      </w:r>
    </w:p>
    <w:p w:rsidR="00C838E2" w:rsidRDefault="00C838E2" w:rsidP="00C838E2">
      <w:pPr>
        <w:pStyle w:val="Prrafodelista"/>
        <w:numPr>
          <w:ilvl w:val="0"/>
          <w:numId w:val="2"/>
        </w:numPr>
        <w:spacing w:after="120"/>
        <w:ind w:left="1134" w:hanging="357"/>
        <w:jc w:val="both"/>
        <w:rPr>
          <w:bCs/>
        </w:rPr>
      </w:pPr>
      <w:r w:rsidRPr="007B4068">
        <w:rPr>
          <w:bCs/>
        </w:rPr>
        <w:t>La identificació dels cadàvers, cendres o restes cadavèriques que ocupen les sepultures.</w:t>
      </w:r>
    </w:p>
    <w:p w:rsidR="00C838E2" w:rsidRPr="00E012C3" w:rsidRDefault="00C838E2" w:rsidP="00C838E2">
      <w:pPr>
        <w:pStyle w:val="Prrafodelista"/>
        <w:numPr>
          <w:ilvl w:val="0"/>
          <w:numId w:val="2"/>
        </w:numPr>
        <w:spacing w:after="120"/>
        <w:ind w:left="1134" w:hanging="357"/>
        <w:jc w:val="both"/>
        <w:rPr>
          <w:bCs/>
        </w:rPr>
      </w:pPr>
      <w:r>
        <w:rPr>
          <w:bCs/>
        </w:rPr>
        <w:t>La r</w:t>
      </w:r>
      <w:r w:rsidRPr="00E012C3">
        <w:rPr>
          <w:bCs/>
        </w:rPr>
        <w:t xml:space="preserve">elació </w:t>
      </w:r>
      <w:r>
        <w:rPr>
          <w:bCs/>
        </w:rPr>
        <w:t>d</w:t>
      </w:r>
      <w:r w:rsidRPr="00E012C3">
        <w:rPr>
          <w:bCs/>
        </w:rPr>
        <w:t xml:space="preserve">el temps transcorregut des de la darrera inhumació i </w:t>
      </w:r>
      <w:r>
        <w:rPr>
          <w:bCs/>
        </w:rPr>
        <w:t>constància de</w:t>
      </w:r>
      <w:r w:rsidRPr="00E012C3">
        <w:rPr>
          <w:bCs/>
        </w:rPr>
        <w:t xml:space="preserve"> si </w:t>
      </w:r>
      <w:r>
        <w:rPr>
          <w:bCs/>
        </w:rPr>
        <w:t>figuren</w:t>
      </w:r>
      <w:r w:rsidRPr="00E012C3">
        <w:rPr>
          <w:bCs/>
        </w:rPr>
        <w:t xml:space="preserve"> inhumats cadàvers del grup I</w:t>
      </w:r>
      <w:r>
        <w:rPr>
          <w:bCs/>
        </w:rPr>
        <w:t>,</w:t>
      </w:r>
      <w:r w:rsidRPr="00E012C3">
        <w:rPr>
          <w:bCs/>
        </w:rPr>
        <w:t xml:space="preserve"> que poden representar un perill sanitari en els darrers 5 anys</w:t>
      </w:r>
      <w:r>
        <w:rPr>
          <w:bCs/>
        </w:rPr>
        <w:t>,</w:t>
      </w:r>
      <w:r w:rsidRPr="00E012C3">
        <w:rPr>
          <w:bCs/>
        </w:rPr>
        <w:t xml:space="preserve"> o </w:t>
      </w:r>
      <w:r>
        <w:rPr>
          <w:bCs/>
        </w:rPr>
        <w:t>d’</w:t>
      </w:r>
      <w:r w:rsidRPr="00E012C3">
        <w:rPr>
          <w:bCs/>
        </w:rPr>
        <w:t>altres contaminants per productes radioactius.</w:t>
      </w:r>
    </w:p>
    <w:p w:rsidR="00C838E2" w:rsidRPr="007B4068" w:rsidRDefault="00C838E2" w:rsidP="00C838E2">
      <w:pPr>
        <w:pStyle w:val="Prrafodelista"/>
        <w:numPr>
          <w:ilvl w:val="0"/>
          <w:numId w:val="2"/>
        </w:numPr>
        <w:spacing w:after="120"/>
        <w:ind w:left="1134" w:hanging="357"/>
        <w:jc w:val="both"/>
        <w:rPr>
          <w:bCs/>
        </w:rPr>
      </w:pPr>
      <w:r w:rsidRPr="007B4068">
        <w:rPr>
          <w:bCs/>
        </w:rPr>
        <w:t>La identificació dels titulars o hereus de les sepultures.</w:t>
      </w:r>
    </w:p>
    <w:p w:rsidR="00C838E2" w:rsidRPr="007B4068" w:rsidRDefault="00C838E2" w:rsidP="00C838E2">
      <w:pPr>
        <w:pStyle w:val="Prrafodelista"/>
        <w:numPr>
          <w:ilvl w:val="0"/>
          <w:numId w:val="2"/>
        </w:numPr>
        <w:spacing w:after="120"/>
        <w:ind w:left="1134" w:hanging="357"/>
        <w:jc w:val="both"/>
        <w:rPr>
          <w:bCs/>
        </w:rPr>
      </w:pPr>
      <w:r>
        <w:rPr>
          <w:bCs/>
        </w:rPr>
        <w:t>La p</w:t>
      </w:r>
      <w:r w:rsidRPr="007B4068">
        <w:rPr>
          <w:bCs/>
        </w:rPr>
        <w:t>rohibició d’efectuar enterraments a les unitats d’enterrament afectades.</w:t>
      </w:r>
    </w:p>
    <w:p w:rsidR="00C838E2" w:rsidRDefault="00C838E2" w:rsidP="00C838E2">
      <w:pPr>
        <w:pStyle w:val="Prrafodelista"/>
        <w:numPr>
          <w:ilvl w:val="0"/>
          <w:numId w:val="2"/>
        </w:numPr>
        <w:spacing w:after="120"/>
        <w:ind w:left="1134" w:hanging="357"/>
        <w:jc w:val="both"/>
        <w:rPr>
          <w:bCs/>
        </w:rPr>
      </w:pPr>
      <w:r w:rsidRPr="007B4068">
        <w:rPr>
          <w:bCs/>
        </w:rPr>
        <w:t xml:space="preserve">L’ordre </w:t>
      </w:r>
      <w:r>
        <w:rPr>
          <w:bCs/>
        </w:rPr>
        <w:t>segons la qual</w:t>
      </w:r>
      <w:r w:rsidRPr="007B4068">
        <w:rPr>
          <w:bCs/>
        </w:rPr>
        <w:t>, exhaurit el</w:t>
      </w:r>
      <w:r>
        <w:rPr>
          <w:bCs/>
        </w:rPr>
        <w:t xml:space="preserve"> tràmit d’audiència a les persones interessades</w:t>
      </w:r>
      <w:r w:rsidRPr="007B4068">
        <w:rPr>
          <w:bCs/>
        </w:rPr>
        <w:t xml:space="preserve">, </w:t>
      </w:r>
      <w:r>
        <w:rPr>
          <w:bCs/>
        </w:rPr>
        <w:t>s’han d’exhumar</w:t>
      </w:r>
      <w:r w:rsidRPr="007B4068">
        <w:rPr>
          <w:bCs/>
        </w:rPr>
        <w:t xml:space="preserve"> els cadàvers, restes cadavèriques o cendres per </w:t>
      </w:r>
      <w:proofErr w:type="spellStart"/>
      <w:r w:rsidRPr="007B4068">
        <w:rPr>
          <w:bCs/>
        </w:rPr>
        <w:t>reinhuma</w:t>
      </w:r>
      <w:r>
        <w:rPr>
          <w:bCs/>
        </w:rPr>
        <w:t>r-los</w:t>
      </w:r>
      <w:proofErr w:type="spellEnd"/>
      <w:r w:rsidRPr="007B4068">
        <w:rPr>
          <w:bCs/>
        </w:rPr>
        <w:t xml:space="preserve"> o incinera</w:t>
      </w:r>
      <w:r>
        <w:rPr>
          <w:bCs/>
        </w:rPr>
        <w:t>r-los</w:t>
      </w:r>
      <w:r w:rsidRPr="007B4068">
        <w:rPr>
          <w:bCs/>
        </w:rPr>
        <w:t xml:space="preserve"> immediata</w:t>
      </w:r>
      <w:r>
        <w:rPr>
          <w:bCs/>
        </w:rPr>
        <w:t>ment</w:t>
      </w:r>
      <w:r w:rsidRPr="007B4068">
        <w:rPr>
          <w:bCs/>
        </w:rPr>
        <w:t xml:space="preserve"> dins el mateix cementiri (</w:t>
      </w:r>
      <w:r>
        <w:rPr>
          <w:bCs/>
        </w:rPr>
        <w:t>o en el lloc que</w:t>
      </w:r>
      <w:r w:rsidRPr="007B4068">
        <w:rPr>
          <w:bCs/>
        </w:rPr>
        <w:t xml:space="preserve"> designin els titulars)</w:t>
      </w:r>
      <w:r>
        <w:rPr>
          <w:bCs/>
        </w:rPr>
        <w:t xml:space="preserve"> i</w:t>
      </w:r>
      <w:r w:rsidRPr="007B4068">
        <w:rPr>
          <w:bCs/>
        </w:rPr>
        <w:t xml:space="preserve"> l’ajuntament </w:t>
      </w:r>
      <w:r>
        <w:rPr>
          <w:bCs/>
        </w:rPr>
        <w:t>s’ha de fer</w:t>
      </w:r>
      <w:r w:rsidRPr="007B4068">
        <w:rPr>
          <w:bCs/>
        </w:rPr>
        <w:t xml:space="preserve"> càrrec de l’enderroc del</w:t>
      </w:r>
      <w:r>
        <w:rPr>
          <w:bCs/>
        </w:rPr>
        <w:t xml:space="preserve">s nínxols de manera immediata. Caldrà esmentar </w:t>
      </w:r>
      <w:r w:rsidRPr="007B4068">
        <w:rPr>
          <w:bCs/>
        </w:rPr>
        <w:t>que la declaració de l’estat de ruïna comporta l’extinció del dret del titular</w:t>
      </w:r>
      <w:r>
        <w:rPr>
          <w:bCs/>
        </w:rPr>
        <w:t xml:space="preserve"> i que no</w:t>
      </w:r>
      <w:r w:rsidRPr="007B4068">
        <w:rPr>
          <w:bCs/>
        </w:rPr>
        <w:t xml:space="preserve"> dona lloc a cap mena d’indemnització</w:t>
      </w:r>
      <w:r>
        <w:rPr>
          <w:rStyle w:val="Refdenotaalpie"/>
          <w:bCs/>
        </w:rPr>
        <w:footnoteReference w:id="2"/>
      </w:r>
      <w:r w:rsidRPr="007B4068">
        <w:rPr>
          <w:bCs/>
        </w:rPr>
        <w:t>.</w:t>
      </w:r>
    </w:p>
    <w:p w:rsidR="00C838E2" w:rsidRDefault="00C838E2" w:rsidP="00C838E2">
      <w:pPr>
        <w:pStyle w:val="Prrafodelista"/>
        <w:spacing w:after="120"/>
        <w:ind w:left="1134"/>
        <w:jc w:val="both"/>
        <w:rPr>
          <w:bCs/>
        </w:rPr>
      </w:pPr>
    </w:p>
    <w:p w:rsidR="00C838E2" w:rsidRPr="000551F3" w:rsidRDefault="00C838E2" w:rsidP="00C838E2">
      <w:pPr>
        <w:pStyle w:val="Prrafodelista"/>
        <w:numPr>
          <w:ilvl w:val="1"/>
          <w:numId w:val="4"/>
        </w:numPr>
        <w:spacing w:after="0"/>
        <w:ind w:left="567" w:hanging="425"/>
        <w:jc w:val="both"/>
        <w:rPr>
          <w:b/>
          <w:bCs/>
        </w:rPr>
      </w:pPr>
      <w:r w:rsidRPr="000551F3">
        <w:rPr>
          <w:b/>
          <w:bCs/>
        </w:rPr>
        <w:lastRenderedPageBreak/>
        <w:t>Notificació de l’acord o resolució als titulars de drets funeraris dels nínxols afectats</w:t>
      </w:r>
      <w:r w:rsidRPr="000551F3">
        <w:rPr>
          <w:bCs/>
        </w:rPr>
        <w:t>,</w:t>
      </w:r>
      <w:r w:rsidRPr="009B6046">
        <w:rPr>
          <w:bCs/>
        </w:rPr>
        <w:t xml:space="preserve"> com a part interessada en el procediment</w:t>
      </w:r>
      <w:r w:rsidRPr="004834FA">
        <w:rPr>
          <w:bCs/>
        </w:rPr>
        <w:t>,</w:t>
      </w:r>
      <w:r w:rsidRPr="000551F3">
        <w:rPr>
          <w:bCs/>
        </w:rPr>
        <w:t xml:space="preserve"> i concessió d’un tràmit d’audiència (de 10 a 15 dies) amb la finalitat que formulin les al·legacions i presentin els documents i justificacions que considerin procedents en defensa dels seus drets.</w:t>
      </w:r>
      <w:r w:rsidRPr="000551F3">
        <w:rPr>
          <w:b/>
          <w:bCs/>
        </w:rPr>
        <w:t xml:space="preserve"> </w:t>
      </w:r>
    </w:p>
    <w:p w:rsidR="00C838E2" w:rsidRPr="000551F3" w:rsidRDefault="00C838E2" w:rsidP="00C838E2">
      <w:pPr>
        <w:pStyle w:val="Prrafodelista"/>
        <w:numPr>
          <w:ilvl w:val="1"/>
          <w:numId w:val="4"/>
        </w:numPr>
        <w:spacing w:after="0"/>
        <w:ind w:left="567" w:hanging="425"/>
        <w:jc w:val="both"/>
        <w:rPr>
          <w:b/>
          <w:bCs/>
        </w:rPr>
      </w:pPr>
      <w:r w:rsidRPr="000551F3">
        <w:rPr>
          <w:b/>
          <w:bCs/>
        </w:rPr>
        <w:t>Fer públic l’expedient</w:t>
      </w:r>
      <w:r w:rsidRPr="009B6046">
        <w:rPr>
          <w:bCs/>
        </w:rPr>
        <w:t xml:space="preserve">, mitjançant un </w:t>
      </w:r>
      <w:r w:rsidRPr="004834FA">
        <w:rPr>
          <w:bCs/>
        </w:rPr>
        <w:t>edicte al BOP</w:t>
      </w:r>
      <w:r w:rsidRPr="000551F3">
        <w:rPr>
          <w:vertAlign w:val="superscript"/>
        </w:rPr>
        <w:footnoteReference w:id="3"/>
      </w:r>
      <w:r w:rsidRPr="009B6046">
        <w:rPr>
          <w:bCs/>
        </w:rPr>
        <w:t xml:space="preserve"> </w:t>
      </w:r>
      <w:r w:rsidRPr="000551F3">
        <w:rPr>
          <w:bCs/>
        </w:rPr>
        <w:t>que informi que, d’acord amb l’acord o resolució, la declaració de l’estat de ruïna dels nínxols comporta l’extinció dels drets dels seus titulars. Addicionalment, i de manera facultativa, es pot complementar la notificació mitjançant la seva publicació a la premsa escrita.</w:t>
      </w:r>
      <w:r w:rsidRPr="000551F3">
        <w:rPr>
          <w:b/>
          <w:bCs/>
        </w:rPr>
        <w:t xml:space="preserve"> </w:t>
      </w:r>
    </w:p>
    <w:p w:rsidR="00C838E2" w:rsidRDefault="00C838E2" w:rsidP="00C838E2">
      <w:pPr>
        <w:pStyle w:val="Prrafodelista"/>
        <w:spacing w:after="120"/>
        <w:ind w:left="0"/>
        <w:jc w:val="both"/>
        <w:rPr>
          <w:bCs/>
        </w:rPr>
      </w:pPr>
    </w:p>
    <w:p w:rsidR="00C838E2" w:rsidRDefault="00C838E2" w:rsidP="00C838E2">
      <w:pPr>
        <w:pStyle w:val="Prrafodelista"/>
        <w:numPr>
          <w:ilvl w:val="0"/>
          <w:numId w:val="1"/>
        </w:numPr>
        <w:spacing w:after="120"/>
        <w:ind w:left="567"/>
        <w:jc w:val="both"/>
        <w:rPr>
          <w:bCs/>
        </w:rPr>
      </w:pPr>
      <w:r w:rsidRPr="0001793D">
        <w:rPr>
          <w:b/>
          <w:bCs/>
        </w:rPr>
        <w:t>Acord o resolució de l’òrgan competent de declaració de ruïna</w:t>
      </w:r>
      <w:r>
        <w:rPr>
          <w:bCs/>
        </w:rPr>
        <w:t xml:space="preserve"> de l’àmbit afectat del cementiri, inclosos tots els nínxols existents, i declaració d’extinció dels drets funeraris corresponents</w:t>
      </w:r>
      <w:r>
        <w:rPr>
          <w:rStyle w:val="Refdenotaalpie"/>
          <w:bCs/>
        </w:rPr>
        <w:footnoteReference w:id="4"/>
      </w:r>
      <w:r>
        <w:rPr>
          <w:bCs/>
        </w:rPr>
        <w:t xml:space="preserve">. Caldrà tenir en consideració les al·legacions i documents presentats durant el tràmit d’audiència i s’hauran de resoldre. Com a conseqüència de la declaració de ruïna, tant l’exhumació per a la </w:t>
      </w:r>
      <w:proofErr w:type="spellStart"/>
      <w:r>
        <w:rPr>
          <w:bCs/>
        </w:rPr>
        <w:t>reinhumació</w:t>
      </w:r>
      <w:proofErr w:type="spellEnd"/>
      <w:r>
        <w:rPr>
          <w:bCs/>
        </w:rPr>
        <w:t xml:space="preserve"> immediata com l’enderroc dels nínxols no dona lloc a cap mena d’indemnització, d’acord amb l’article 51.5 de l’RPSM</w:t>
      </w:r>
      <w:r w:rsidRPr="007D4597">
        <w:rPr>
          <w:rStyle w:val="Refdenotaalpie"/>
        </w:rPr>
        <w:t>4</w:t>
      </w:r>
      <w:r>
        <w:rPr>
          <w:bCs/>
        </w:rPr>
        <w:t xml:space="preserve">. Caldrà indicar el lloc de la </w:t>
      </w:r>
      <w:proofErr w:type="spellStart"/>
      <w:r>
        <w:rPr>
          <w:bCs/>
        </w:rPr>
        <w:t>reinhumació</w:t>
      </w:r>
      <w:proofErr w:type="spellEnd"/>
      <w:r>
        <w:rPr>
          <w:bCs/>
        </w:rPr>
        <w:t xml:space="preserve"> dels cadàvers i/o restes cadavèriques en cas que els titulars dels drets funeraris no designin un lloc concret</w:t>
      </w:r>
      <w:r>
        <w:rPr>
          <w:rStyle w:val="Refdenotaalpie"/>
          <w:bCs/>
        </w:rPr>
        <w:footnoteReference w:id="5"/>
      </w:r>
      <w:r>
        <w:rPr>
          <w:bCs/>
        </w:rPr>
        <w:t xml:space="preserve">. </w:t>
      </w:r>
    </w:p>
    <w:p w:rsidR="00C838E2" w:rsidRPr="00A265C6" w:rsidRDefault="00C838E2" w:rsidP="00C838E2">
      <w:pPr>
        <w:pStyle w:val="Prrafodelista"/>
        <w:numPr>
          <w:ilvl w:val="1"/>
          <w:numId w:val="3"/>
        </w:numPr>
        <w:spacing w:after="0"/>
        <w:ind w:left="567" w:hanging="425"/>
        <w:jc w:val="both"/>
        <w:rPr>
          <w:bCs/>
        </w:rPr>
      </w:pPr>
      <w:r w:rsidRPr="00A265C6">
        <w:rPr>
          <w:b/>
          <w:bCs/>
        </w:rPr>
        <w:t xml:space="preserve">Notificació de l’acord o resolució a tots </w:t>
      </w:r>
      <w:r>
        <w:rPr>
          <w:b/>
          <w:bCs/>
        </w:rPr>
        <w:t>e</w:t>
      </w:r>
      <w:r w:rsidRPr="00A265C6">
        <w:rPr>
          <w:b/>
          <w:bCs/>
        </w:rPr>
        <w:t xml:space="preserve">ls titulars, interessats i en tot cas </w:t>
      </w:r>
      <w:r>
        <w:rPr>
          <w:b/>
          <w:bCs/>
        </w:rPr>
        <w:t>a</w:t>
      </w:r>
      <w:r w:rsidRPr="00A265C6">
        <w:rPr>
          <w:b/>
          <w:bCs/>
        </w:rPr>
        <w:t>ls que hi hagin formulat al·legacions.</w:t>
      </w:r>
      <w:r w:rsidRPr="00A265C6">
        <w:rPr>
          <w:bCs/>
        </w:rPr>
        <w:t xml:space="preserve"> Trasllat de l’acord</w:t>
      </w:r>
      <w:r>
        <w:rPr>
          <w:bCs/>
        </w:rPr>
        <w:t xml:space="preserve"> o </w:t>
      </w:r>
      <w:r w:rsidRPr="00A265C6">
        <w:rPr>
          <w:bCs/>
        </w:rPr>
        <w:t>resolució i requeri</w:t>
      </w:r>
      <w:r>
        <w:rPr>
          <w:bCs/>
        </w:rPr>
        <w:t>ment</w:t>
      </w:r>
      <w:r w:rsidRPr="00A265C6">
        <w:rPr>
          <w:bCs/>
        </w:rPr>
        <w:t xml:space="preserve"> als titulars i, </w:t>
      </w:r>
      <w:r>
        <w:rPr>
          <w:bCs/>
        </w:rPr>
        <w:t>si no n’hi ha</w:t>
      </w:r>
      <w:r w:rsidRPr="00A265C6">
        <w:rPr>
          <w:bCs/>
        </w:rPr>
        <w:t xml:space="preserve">, </w:t>
      </w:r>
      <w:r>
        <w:rPr>
          <w:bCs/>
        </w:rPr>
        <w:t xml:space="preserve">als </w:t>
      </w:r>
      <w:r w:rsidRPr="00A265C6">
        <w:rPr>
          <w:bCs/>
        </w:rPr>
        <w:t xml:space="preserve">beneficiaris o hereus dels drets sobre els nínxols declarats en ruïna perquè en </w:t>
      </w:r>
      <w:r>
        <w:rPr>
          <w:bCs/>
        </w:rPr>
        <w:t>el</w:t>
      </w:r>
      <w:r w:rsidRPr="00A265C6">
        <w:rPr>
          <w:bCs/>
        </w:rPr>
        <w:t xml:space="preserve"> termini de 15 dies hàbils a comptar de la data de recepció de la notificació determinin el lloc on </w:t>
      </w:r>
      <w:r>
        <w:rPr>
          <w:bCs/>
        </w:rPr>
        <w:t>vol</w:t>
      </w:r>
      <w:r w:rsidRPr="00A265C6">
        <w:rPr>
          <w:bCs/>
        </w:rPr>
        <w:t xml:space="preserve">en que siguin </w:t>
      </w:r>
      <w:proofErr w:type="spellStart"/>
      <w:r w:rsidRPr="00A265C6">
        <w:rPr>
          <w:bCs/>
        </w:rPr>
        <w:t>reinhumats</w:t>
      </w:r>
      <w:proofErr w:type="spellEnd"/>
      <w:r w:rsidRPr="00A265C6">
        <w:rPr>
          <w:bCs/>
        </w:rPr>
        <w:t xml:space="preserve"> els cadàvers i/o restes cadavèriques. En cas que no es comuniqu</w:t>
      </w:r>
      <w:r>
        <w:rPr>
          <w:bCs/>
        </w:rPr>
        <w:t>i</w:t>
      </w:r>
      <w:r w:rsidRPr="00A265C6">
        <w:rPr>
          <w:bCs/>
        </w:rPr>
        <w:t xml:space="preserve"> res al respecte, la inhumació es </w:t>
      </w:r>
      <w:r>
        <w:rPr>
          <w:bCs/>
        </w:rPr>
        <w:t>farà</w:t>
      </w:r>
      <w:r w:rsidRPr="00A265C6">
        <w:rPr>
          <w:bCs/>
        </w:rPr>
        <w:t xml:space="preserve"> en el lloc determinat a </w:t>
      </w:r>
      <w:r>
        <w:rPr>
          <w:bCs/>
        </w:rPr>
        <w:t>aquest</w:t>
      </w:r>
      <w:r w:rsidRPr="00A265C6">
        <w:rPr>
          <w:bCs/>
        </w:rPr>
        <w:t xml:space="preserve"> efecte. En cas que s’hagin de traslladar a un altre cementiri, els titulars han de demanar autorització al delegat territorial del Departament de Sanitat i Seguretat Social i acreditar-ho a l’ajuntament en el mateix termini.</w:t>
      </w:r>
    </w:p>
    <w:p w:rsidR="00C838E2" w:rsidRPr="004834FA" w:rsidRDefault="00C838E2" w:rsidP="00C838E2">
      <w:pPr>
        <w:pStyle w:val="Prrafodelista"/>
        <w:numPr>
          <w:ilvl w:val="1"/>
          <w:numId w:val="3"/>
        </w:numPr>
        <w:spacing w:after="0"/>
        <w:ind w:left="567" w:hanging="425"/>
        <w:jc w:val="both"/>
        <w:rPr>
          <w:bCs/>
        </w:rPr>
      </w:pPr>
      <w:r w:rsidRPr="00A265C6">
        <w:rPr>
          <w:b/>
          <w:bCs/>
        </w:rPr>
        <w:t xml:space="preserve">Fer pública la declaració de ruïna mitjançant </w:t>
      </w:r>
      <w:r>
        <w:rPr>
          <w:b/>
          <w:bCs/>
        </w:rPr>
        <w:t xml:space="preserve">un </w:t>
      </w:r>
      <w:r w:rsidRPr="00A265C6">
        <w:rPr>
          <w:b/>
          <w:bCs/>
        </w:rPr>
        <w:t>edicte al BOP</w:t>
      </w:r>
      <w:r w:rsidRPr="000551F3">
        <w:rPr>
          <w:b/>
          <w:bCs/>
        </w:rPr>
        <w:t xml:space="preserve"> </w:t>
      </w:r>
      <w:r w:rsidRPr="009B6046">
        <w:rPr>
          <w:bCs/>
        </w:rPr>
        <w:t xml:space="preserve">amb les dades d’exhumació, inhumació i enderroc o qualsevol </w:t>
      </w:r>
      <w:r w:rsidRPr="000551F3">
        <w:rPr>
          <w:bCs/>
        </w:rPr>
        <w:t>altr</w:t>
      </w:r>
      <w:r>
        <w:rPr>
          <w:bCs/>
        </w:rPr>
        <w:t>a</w:t>
      </w:r>
      <w:r w:rsidRPr="009B6046">
        <w:rPr>
          <w:bCs/>
        </w:rPr>
        <w:t xml:space="preserve"> que es consideri d’interès.</w:t>
      </w:r>
    </w:p>
    <w:p w:rsidR="00C838E2" w:rsidRPr="007D4597" w:rsidRDefault="00C838E2" w:rsidP="00C838E2">
      <w:pPr>
        <w:spacing w:after="0"/>
        <w:jc w:val="both"/>
        <w:rPr>
          <w:rFonts w:ascii="Arial" w:hAnsi="Arial" w:cs="Arial"/>
          <w:bCs/>
        </w:rPr>
      </w:pPr>
    </w:p>
    <w:p w:rsidR="00C838E2" w:rsidRDefault="00C838E2" w:rsidP="00C838E2">
      <w:pPr>
        <w:pStyle w:val="Prrafodelista"/>
        <w:numPr>
          <w:ilvl w:val="0"/>
          <w:numId w:val="1"/>
        </w:numPr>
        <w:spacing w:after="120"/>
        <w:ind w:left="567" w:hanging="425"/>
        <w:jc w:val="both"/>
        <w:rPr>
          <w:bCs/>
        </w:rPr>
      </w:pPr>
      <w:r>
        <w:rPr>
          <w:bCs/>
        </w:rPr>
        <w:t xml:space="preserve">Finalitzat el termini per designar el destí de les restes, l’alcalde ha d’ordenar l’exhumació de cadàvers i/o restes cadavèriques enterrats en els nínxols declarats en ruïna i que hagin de ser </w:t>
      </w:r>
      <w:proofErr w:type="spellStart"/>
      <w:r>
        <w:rPr>
          <w:bCs/>
        </w:rPr>
        <w:t>reinhumats</w:t>
      </w:r>
      <w:proofErr w:type="spellEnd"/>
      <w:r>
        <w:rPr>
          <w:bCs/>
        </w:rPr>
        <w:t xml:space="preserve"> o incinerats en el mateix cementiri en el termini màxim de 48 hores. No es cobraran taxes. Es contractarà una empresa funerària per a l’execució de les tasques o es realitzarà amb els mitjans propis de l’ajuntament.</w:t>
      </w:r>
    </w:p>
    <w:p w:rsidR="00C838E2" w:rsidRDefault="00C838E2" w:rsidP="00C838E2">
      <w:pPr>
        <w:pStyle w:val="Prrafodelista"/>
        <w:spacing w:after="120"/>
        <w:ind w:left="0"/>
        <w:jc w:val="both"/>
        <w:rPr>
          <w:bCs/>
        </w:rPr>
      </w:pPr>
    </w:p>
    <w:p w:rsidR="00C838E2" w:rsidRDefault="00C838E2" w:rsidP="00C838E2">
      <w:pPr>
        <w:pStyle w:val="Prrafodelista"/>
        <w:numPr>
          <w:ilvl w:val="0"/>
          <w:numId w:val="1"/>
        </w:numPr>
        <w:spacing w:after="120"/>
        <w:ind w:left="567" w:hanging="425"/>
        <w:jc w:val="both"/>
        <w:rPr>
          <w:bCs/>
        </w:rPr>
      </w:pPr>
      <w:r>
        <w:rPr>
          <w:bCs/>
        </w:rPr>
        <w:t>Es podrà autoritzar la retirada de làpides i ornamentacions als titulars dels drets funeraris dels nínxols declarats en ruïna, prèvia petició i sempre que no comportin cap risc, i en tot cas prèviament a l’exhumació i l’enderroc.</w:t>
      </w:r>
    </w:p>
    <w:p w:rsidR="00C838E2" w:rsidRPr="00A265C6" w:rsidRDefault="00C838E2" w:rsidP="00C838E2">
      <w:pPr>
        <w:pStyle w:val="Prrafodelista"/>
        <w:spacing w:after="120"/>
        <w:ind w:left="567"/>
        <w:jc w:val="both"/>
        <w:rPr>
          <w:bCs/>
        </w:rPr>
      </w:pPr>
    </w:p>
    <w:p w:rsidR="00C838E2" w:rsidRDefault="00C838E2" w:rsidP="00C838E2">
      <w:pPr>
        <w:pStyle w:val="Prrafodelista"/>
        <w:numPr>
          <w:ilvl w:val="0"/>
          <w:numId w:val="1"/>
        </w:numPr>
        <w:spacing w:after="120"/>
        <w:ind w:left="567" w:hanging="425"/>
        <w:jc w:val="both"/>
        <w:rPr>
          <w:bCs/>
        </w:rPr>
      </w:pPr>
      <w:r>
        <w:rPr>
          <w:bCs/>
        </w:rPr>
        <w:t>L’Ajuntament ha d’ordenar l’enderroc dels nínxols declarats en ruïna una vegada efectuades totes les exhumacions i de manera immediata. Cal redactar el projecte d’enderroc i execució dels treballs.</w:t>
      </w:r>
    </w:p>
    <w:p w:rsidR="00C838E2" w:rsidRPr="00A265C6" w:rsidRDefault="00C838E2" w:rsidP="00C838E2">
      <w:pPr>
        <w:pStyle w:val="Prrafodelista"/>
        <w:rPr>
          <w:bCs/>
        </w:rPr>
      </w:pPr>
    </w:p>
    <w:p w:rsidR="00C838E2" w:rsidRPr="00A265C6" w:rsidRDefault="00C838E2" w:rsidP="00C838E2">
      <w:pPr>
        <w:pStyle w:val="Prrafodelista"/>
        <w:spacing w:after="120"/>
        <w:ind w:left="0"/>
        <w:jc w:val="both"/>
        <w:rPr>
          <w:bCs/>
        </w:rPr>
      </w:pPr>
      <w:r>
        <w:rPr>
          <w:bCs/>
        </w:rPr>
        <w:lastRenderedPageBreak/>
        <w:t>D</w:t>
      </w:r>
      <w:r w:rsidRPr="00A265C6">
        <w:rPr>
          <w:bCs/>
        </w:rPr>
        <w:t>urant tot el procediment, s’ha de respectar no només el criteri d’estrict</w:t>
      </w:r>
      <w:r>
        <w:rPr>
          <w:bCs/>
        </w:rPr>
        <w:t>a</w:t>
      </w:r>
      <w:r w:rsidRPr="00A265C6">
        <w:rPr>
          <w:bCs/>
        </w:rPr>
        <w:t xml:space="preserve"> legalitat</w:t>
      </w:r>
      <w:r>
        <w:rPr>
          <w:bCs/>
        </w:rPr>
        <w:t>,</w:t>
      </w:r>
      <w:r w:rsidRPr="00A265C6">
        <w:rPr>
          <w:bCs/>
        </w:rPr>
        <w:t xml:space="preserve"> sinó també i molt especialment els criteris morals, religiosos i sentimentals concurrents</w:t>
      </w:r>
      <w:r>
        <w:rPr>
          <w:bCs/>
        </w:rPr>
        <w:t>.</w:t>
      </w:r>
    </w:p>
    <w:p w:rsidR="00330E36" w:rsidRDefault="00330E36"/>
    <w:sectPr w:rsidR="00330E36" w:rsidSect="00C838E2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8E2" w:rsidRDefault="00C838E2" w:rsidP="00C838E2">
      <w:pPr>
        <w:spacing w:after="0" w:line="240" w:lineRule="auto"/>
      </w:pPr>
      <w:r>
        <w:separator/>
      </w:r>
    </w:p>
  </w:endnote>
  <w:endnote w:type="continuationSeparator" w:id="0">
    <w:p w:rsidR="00C838E2" w:rsidRDefault="00C838E2" w:rsidP="00C8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8E2" w:rsidRDefault="00C838E2" w:rsidP="00C838E2">
      <w:pPr>
        <w:spacing w:after="0" w:line="240" w:lineRule="auto"/>
      </w:pPr>
      <w:r>
        <w:separator/>
      </w:r>
    </w:p>
  </w:footnote>
  <w:footnote w:type="continuationSeparator" w:id="0">
    <w:p w:rsidR="00C838E2" w:rsidRDefault="00C838E2" w:rsidP="00C838E2">
      <w:pPr>
        <w:spacing w:after="0" w:line="240" w:lineRule="auto"/>
      </w:pPr>
      <w:r>
        <w:continuationSeparator/>
      </w:r>
    </w:p>
  </w:footnote>
  <w:footnote w:id="1">
    <w:p w:rsidR="00C838E2" w:rsidRPr="004D06DF" w:rsidRDefault="00C838E2" w:rsidP="00C838E2">
      <w:pPr>
        <w:pStyle w:val="Textonotapie"/>
        <w:jc w:val="both"/>
        <w:rPr>
          <w:sz w:val="18"/>
          <w:szCs w:val="18"/>
        </w:rPr>
      </w:pPr>
      <w:r w:rsidRPr="004D06DF">
        <w:rPr>
          <w:rStyle w:val="Refdenotaalpie"/>
          <w:sz w:val="18"/>
          <w:szCs w:val="18"/>
        </w:rPr>
        <w:footnoteRef/>
      </w:r>
      <w:r w:rsidRPr="004D06DF">
        <w:rPr>
          <w:sz w:val="18"/>
          <w:szCs w:val="18"/>
        </w:rPr>
        <w:t xml:space="preserve"> L’esta ruïnós és parcial quan només afecta una part independent de l’immoble que és possible enderrocar sense repercutir en l’estat físic normal i íntegre de la part no afectada perquè estructuralment i funcionalment són parts autònomes i separables entre si.</w:t>
      </w:r>
    </w:p>
  </w:footnote>
  <w:footnote w:id="2">
    <w:p w:rsidR="00C838E2" w:rsidRPr="004D06DF" w:rsidRDefault="00C838E2" w:rsidP="00C838E2">
      <w:pPr>
        <w:pStyle w:val="Textonotapie"/>
        <w:jc w:val="both"/>
        <w:rPr>
          <w:sz w:val="18"/>
          <w:szCs w:val="18"/>
        </w:rPr>
      </w:pPr>
      <w:r w:rsidRPr="004D06DF">
        <w:rPr>
          <w:rStyle w:val="Refdenotaalpie"/>
          <w:sz w:val="18"/>
          <w:szCs w:val="18"/>
        </w:rPr>
        <w:footnoteRef/>
      </w:r>
      <w:r w:rsidRPr="004D06DF">
        <w:rPr>
          <w:sz w:val="18"/>
          <w:szCs w:val="18"/>
        </w:rPr>
        <w:t xml:space="preserve"> Si bé </w:t>
      </w:r>
      <w:r>
        <w:rPr>
          <w:sz w:val="18"/>
          <w:szCs w:val="18"/>
        </w:rPr>
        <w:t>l’</w:t>
      </w:r>
      <w:r w:rsidRPr="004D06DF">
        <w:rPr>
          <w:sz w:val="18"/>
          <w:szCs w:val="18"/>
        </w:rPr>
        <w:t>RPSM determina que</w:t>
      </w:r>
      <w:r>
        <w:rPr>
          <w:sz w:val="18"/>
          <w:szCs w:val="18"/>
        </w:rPr>
        <w:t>,</w:t>
      </w:r>
      <w:r w:rsidRPr="004D06DF">
        <w:rPr>
          <w:sz w:val="18"/>
          <w:szCs w:val="18"/>
        </w:rPr>
        <w:t xml:space="preserve"> declarada la ruïna de la unitat d’enterrament</w:t>
      </w:r>
      <w:r>
        <w:rPr>
          <w:sz w:val="18"/>
          <w:szCs w:val="18"/>
        </w:rPr>
        <w:t>,</w:t>
      </w:r>
      <w:r w:rsidRPr="004D06DF">
        <w:rPr>
          <w:sz w:val="18"/>
          <w:szCs w:val="18"/>
        </w:rPr>
        <w:t xml:space="preserve"> el dret funerari s’extingeix sense donar lloc a cap mena d’indemnització, es poden preveure mesures </w:t>
      </w:r>
      <w:r>
        <w:rPr>
          <w:sz w:val="18"/>
          <w:szCs w:val="18"/>
        </w:rPr>
        <w:t xml:space="preserve">compensatòries </w:t>
      </w:r>
      <w:r w:rsidRPr="004D06DF">
        <w:rPr>
          <w:sz w:val="18"/>
          <w:szCs w:val="18"/>
        </w:rPr>
        <w:t xml:space="preserve">com </w:t>
      </w:r>
      <w:r>
        <w:rPr>
          <w:sz w:val="18"/>
          <w:szCs w:val="18"/>
        </w:rPr>
        <w:t xml:space="preserve">ara </w:t>
      </w:r>
      <w:r w:rsidRPr="004D06DF">
        <w:rPr>
          <w:sz w:val="18"/>
          <w:szCs w:val="18"/>
        </w:rPr>
        <w:t>la permuta</w:t>
      </w:r>
      <w:r>
        <w:rPr>
          <w:sz w:val="18"/>
          <w:szCs w:val="18"/>
        </w:rPr>
        <w:t xml:space="preserve"> del dret funerari a un altre nínxol</w:t>
      </w:r>
      <w:r w:rsidRPr="004D06DF">
        <w:rPr>
          <w:sz w:val="18"/>
          <w:szCs w:val="18"/>
        </w:rPr>
        <w:t>, la reducció de la taxa de les noves concessions, etc.</w:t>
      </w:r>
    </w:p>
  </w:footnote>
  <w:footnote w:id="3">
    <w:p w:rsidR="00C838E2" w:rsidRPr="004D06DF" w:rsidRDefault="00C838E2" w:rsidP="00C838E2">
      <w:pPr>
        <w:pStyle w:val="Textonotapie"/>
        <w:jc w:val="both"/>
        <w:rPr>
          <w:sz w:val="18"/>
          <w:szCs w:val="18"/>
        </w:rPr>
      </w:pPr>
      <w:r w:rsidRPr="004D06DF">
        <w:rPr>
          <w:rStyle w:val="Refdenotaalpie"/>
          <w:sz w:val="18"/>
          <w:szCs w:val="18"/>
        </w:rPr>
        <w:footnoteRef/>
      </w:r>
      <w:r w:rsidRPr="004D06DF">
        <w:rPr>
          <w:sz w:val="18"/>
          <w:szCs w:val="18"/>
        </w:rPr>
        <w:t xml:space="preserve"> En cas de notificació infructuosa a algun dels titulars dels drets funeraris dels nínxols afectats, titulars desconeguts, titulars difunts i també per raons d’interès públic apreciades per l’òrgan competent. </w:t>
      </w:r>
      <w:r>
        <w:rPr>
          <w:sz w:val="18"/>
          <w:szCs w:val="18"/>
        </w:rPr>
        <w:t>Es recomana</w:t>
      </w:r>
      <w:r w:rsidRPr="004D06DF">
        <w:rPr>
          <w:sz w:val="18"/>
          <w:szCs w:val="18"/>
        </w:rPr>
        <w:t xml:space="preserve"> també la publicació al tauler electrònic de l’Ajuntament, a</w:t>
      </w:r>
      <w:r>
        <w:rPr>
          <w:sz w:val="18"/>
          <w:szCs w:val="18"/>
        </w:rPr>
        <w:t>l</w:t>
      </w:r>
      <w:r w:rsidRPr="004D06DF">
        <w:rPr>
          <w:sz w:val="18"/>
          <w:szCs w:val="18"/>
        </w:rPr>
        <w:t xml:space="preserve"> web, etc.</w:t>
      </w:r>
      <w:r>
        <w:rPr>
          <w:sz w:val="18"/>
          <w:szCs w:val="18"/>
        </w:rPr>
        <w:t>, i al BOE.</w:t>
      </w:r>
    </w:p>
  </w:footnote>
  <w:footnote w:id="4">
    <w:p w:rsidR="00C838E2" w:rsidRDefault="00C838E2" w:rsidP="00C838E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D4597">
        <w:rPr>
          <w:sz w:val="18"/>
          <w:szCs w:val="18"/>
        </w:rPr>
        <w:t>En cas que no s’hagin previst mesures compensatòries.</w:t>
      </w:r>
    </w:p>
  </w:footnote>
  <w:footnote w:id="5">
    <w:p w:rsidR="00C838E2" w:rsidRPr="001567FC" w:rsidRDefault="00C838E2" w:rsidP="00C838E2">
      <w:pPr>
        <w:pStyle w:val="Textonotapie"/>
        <w:jc w:val="both"/>
        <w:rPr>
          <w:sz w:val="18"/>
          <w:szCs w:val="18"/>
        </w:rPr>
      </w:pPr>
      <w:r w:rsidRPr="004D06DF">
        <w:rPr>
          <w:rStyle w:val="Refdenotaalpie"/>
          <w:sz w:val="18"/>
          <w:szCs w:val="18"/>
        </w:rPr>
        <w:footnoteRef/>
      </w:r>
      <w:r w:rsidRPr="004D06DF">
        <w:rPr>
          <w:sz w:val="18"/>
          <w:szCs w:val="18"/>
        </w:rPr>
        <w:t xml:space="preserve"> </w:t>
      </w:r>
      <w:r>
        <w:rPr>
          <w:sz w:val="18"/>
          <w:szCs w:val="18"/>
        </w:rPr>
        <w:t>Es recomana utilitzar l’o</w:t>
      </w:r>
      <w:r w:rsidRPr="004D06DF">
        <w:rPr>
          <w:sz w:val="18"/>
          <w:szCs w:val="18"/>
        </w:rPr>
        <w:t>ssera</w:t>
      </w:r>
      <w:r>
        <w:rPr>
          <w:sz w:val="18"/>
          <w:szCs w:val="18"/>
        </w:rPr>
        <w:t xml:space="preserve"> o la </w:t>
      </w:r>
      <w:r w:rsidRPr="004D06DF">
        <w:rPr>
          <w:sz w:val="18"/>
          <w:szCs w:val="18"/>
        </w:rPr>
        <w:t xml:space="preserve">fossa comuna </w:t>
      </w:r>
      <w:r>
        <w:rPr>
          <w:sz w:val="18"/>
          <w:szCs w:val="18"/>
        </w:rPr>
        <w:t>i dipositar en</w:t>
      </w:r>
      <w:r w:rsidRPr="004D06DF">
        <w:rPr>
          <w:sz w:val="18"/>
          <w:szCs w:val="18"/>
        </w:rPr>
        <w:t xml:space="preserve"> caixes o bosses </w:t>
      </w:r>
      <w:r>
        <w:rPr>
          <w:sz w:val="18"/>
          <w:szCs w:val="18"/>
        </w:rPr>
        <w:t>les</w:t>
      </w:r>
      <w:r w:rsidRPr="004D06DF">
        <w:rPr>
          <w:sz w:val="18"/>
          <w:szCs w:val="18"/>
        </w:rPr>
        <w:t xml:space="preserve"> restes individuals degudament identificades (nom i cognoms i unitat d’enterrament d’on provenen).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32CC2"/>
    <w:multiLevelType w:val="multilevel"/>
    <w:tmpl w:val="992238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1EA37A40"/>
    <w:multiLevelType w:val="hybridMultilevel"/>
    <w:tmpl w:val="28046CF8"/>
    <w:lvl w:ilvl="0" w:tplc="D946C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F6A30"/>
    <w:multiLevelType w:val="hybridMultilevel"/>
    <w:tmpl w:val="17C6736C"/>
    <w:lvl w:ilvl="0" w:tplc="DB9211E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5972C1C"/>
    <w:multiLevelType w:val="multilevel"/>
    <w:tmpl w:val="BDD043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E2"/>
    <w:rsid w:val="00330E36"/>
    <w:rsid w:val="00C8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BC726-3898-4E3C-B76D-2FBE527D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8E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38E2"/>
    <w:pPr>
      <w:ind w:left="720"/>
      <w:contextualSpacing/>
    </w:pPr>
    <w:rPr>
      <w:rFonts w:ascii="Arial" w:hAnsi="Arial" w:cs="Arial"/>
    </w:rPr>
  </w:style>
  <w:style w:type="paragraph" w:styleId="Textonotapie">
    <w:name w:val="footnote text"/>
    <w:basedOn w:val="Normal"/>
    <w:link w:val="TextonotapieCar"/>
    <w:uiPriority w:val="99"/>
    <w:unhideWhenUsed/>
    <w:rsid w:val="00C838E2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838E2"/>
    <w:rPr>
      <w:rFonts w:ascii="Arial" w:hAnsi="Arial" w:cs="Arial"/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C838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88559A87</Template>
  <TotalTime>5</TotalTime>
  <Pages>3</Pages>
  <Words>936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DDGI</Company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Roser Malagelada</dc:creator>
  <cp:keywords/>
  <dc:description/>
  <cp:lastModifiedBy>Roser Malagelada</cp:lastModifiedBy>
  <cp:revision>1</cp:revision>
  <dcterms:created xsi:type="dcterms:W3CDTF">2020-03-16T08:05:00Z</dcterms:created>
  <dcterms:modified xsi:type="dcterms:W3CDTF">2020-03-16T08:10:00Z</dcterms:modified>
</cp:coreProperties>
</file>