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9F70" w14:textId="028126AA" w:rsidR="00755C5D" w:rsidRPr="001F3FD1" w:rsidRDefault="007E4464" w:rsidP="00F01F8C">
      <w:pPr>
        <w:pBdr>
          <w:top w:val="single" w:sz="4" w:space="1" w:color="auto"/>
          <w:left w:val="single" w:sz="4" w:space="4" w:color="auto"/>
          <w:bottom w:val="single" w:sz="4" w:space="1" w:color="auto"/>
          <w:right w:val="single" w:sz="4" w:space="4" w:color="auto"/>
        </w:pBdr>
        <w:tabs>
          <w:tab w:val="left" w:pos="0"/>
        </w:tabs>
        <w:spacing w:line="276" w:lineRule="auto"/>
        <w:jc w:val="center"/>
        <w:rPr>
          <w:rFonts w:ascii="Arial" w:hAnsi="Arial" w:cs="Arial"/>
          <w:b/>
          <w:bCs/>
        </w:rPr>
      </w:pPr>
      <w:r w:rsidRPr="001F3FD1">
        <w:rPr>
          <w:rFonts w:ascii="Arial" w:hAnsi="Arial" w:cs="Arial"/>
          <w:b/>
          <w:bCs/>
        </w:rPr>
        <w:t>MODEL D’</w:t>
      </w:r>
      <w:r w:rsidR="00755C5D" w:rsidRPr="001F3FD1">
        <w:rPr>
          <w:rFonts w:ascii="Arial" w:hAnsi="Arial" w:cs="Arial"/>
          <w:b/>
          <w:bCs/>
        </w:rPr>
        <w:t xml:space="preserve">ANUNCI </w:t>
      </w:r>
      <w:r w:rsidR="00CB6B28" w:rsidRPr="001F3FD1">
        <w:rPr>
          <w:rFonts w:ascii="Arial" w:hAnsi="Arial" w:cs="Arial"/>
          <w:b/>
          <w:bCs/>
        </w:rPr>
        <w:t xml:space="preserve">DE </w:t>
      </w:r>
      <w:r w:rsidRPr="001F3FD1">
        <w:rPr>
          <w:rFonts w:ascii="Arial" w:hAnsi="Arial" w:cs="Arial"/>
          <w:b/>
          <w:bCs/>
        </w:rPr>
        <w:t>NOTIFICACIÓ DEL SERVEI DE CEMENTIRI</w:t>
      </w:r>
    </w:p>
    <w:p w14:paraId="3E0A2724" w14:textId="1A2CFFD5" w:rsidR="007E4464" w:rsidRPr="001F3FD1" w:rsidRDefault="007E4464" w:rsidP="007E4464">
      <w:pPr>
        <w:ind w:right="-62"/>
        <w:jc w:val="both"/>
        <w:rPr>
          <w:rFonts w:ascii="Arial" w:hAnsi="Arial" w:cs="Arial"/>
        </w:rPr>
      </w:pPr>
      <w:r w:rsidRPr="001F3FD1">
        <w:rPr>
          <w:rFonts w:ascii="Arial" w:hAnsi="Arial" w:cs="Arial"/>
        </w:rPr>
        <w:t>D’acord amb l’article 44 de la LPACAP quan els interessats en un procediment siguin desconeguts, s’ignori el lloc de la notificació o bé, un cop aquesta s’hagi intentat, no s’hagi pogut practicar, la notificació s’ha de fer per mitjà d’un anunci publicat al BOE. Prèviament i amb caràcter facultatiu, es pot publicar l’anunci al BOPG o al DOGC, al tauler d’edictes de l’Ajuntament de l’últim domicili de l’interessat o del consolat o secció consular de l’ambaixada corresponent</w:t>
      </w:r>
      <w:r w:rsidRPr="001F3FD1">
        <w:rPr>
          <w:rFonts w:ascii="Arial" w:hAnsi="Arial" w:cs="Arial"/>
        </w:rPr>
        <w:t>.</w:t>
      </w:r>
    </w:p>
    <w:p w14:paraId="35B78537" w14:textId="66B19F73" w:rsidR="007E4464" w:rsidRPr="001F3FD1" w:rsidRDefault="007E4464" w:rsidP="007E4464">
      <w:pPr>
        <w:spacing w:after="0"/>
        <w:ind w:right="-62"/>
        <w:jc w:val="both"/>
        <w:rPr>
          <w:rFonts w:ascii="Arial" w:hAnsi="Arial" w:cs="Arial"/>
        </w:rPr>
      </w:pPr>
      <w:r w:rsidRPr="001F3FD1">
        <w:rPr>
          <w:rFonts w:ascii="Arial" w:hAnsi="Arial" w:cs="Arial"/>
          <w:noProof/>
        </w:rPr>
        <mc:AlternateContent>
          <mc:Choice Requires="wps">
            <w:drawing>
              <wp:anchor distT="45720" distB="45720" distL="114300" distR="114300" simplePos="0" relativeHeight="251659264" behindDoc="0" locked="0" layoutInCell="1" allowOverlap="1" wp14:anchorId="6DAA9929" wp14:editId="2E457F21">
                <wp:simplePos x="0" y="0"/>
                <wp:positionH relativeFrom="margin">
                  <wp:align>right</wp:align>
                </wp:positionH>
                <wp:positionV relativeFrom="paragraph">
                  <wp:posOffset>332491</wp:posOffset>
                </wp:positionV>
                <wp:extent cx="5382895" cy="24098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2409825"/>
                        </a:xfrm>
                        <a:prstGeom prst="rect">
                          <a:avLst/>
                        </a:prstGeom>
                        <a:solidFill>
                          <a:srgbClr val="FFFFFF"/>
                        </a:solidFill>
                        <a:ln w="9525">
                          <a:solidFill>
                            <a:srgbClr val="000000"/>
                          </a:solidFill>
                          <a:miter lim="800000"/>
                          <a:headEnd/>
                          <a:tailEnd/>
                        </a:ln>
                      </wps:spPr>
                      <wps:txbx>
                        <w:txbxContent>
                          <w:p w14:paraId="5DE8AC72" w14:textId="77777777" w:rsidR="007E4464" w:rsidRPr="00631CD5" w:rsidRDefault="007E4464" w:rsidP="007E4464">
                            <w:pPr>
                              <w:spacing w:after="0"/>
                              <w:ind w:right="-62"/>
                              <w:jc w:val="center"/>
                              <w:rPr>
                                <w:rFonts w:ascii="Arial" w:hAnsi="Arial" w:cs="Arial"/>
                                <w:b/>
                              </w:rPr>
                            </w:pPr>
                            <w:r w:rsidRPr="00631CD5">
                              <w:rPr>
                                <w:rFonts w:ascii="Arial" w:hAnsi="Arial" w:cs="Arial"/>
                                <w:b/>
                              </w:rPr>
                              <w:t>ANUNCI DE NOTIFICACIÓ DE [</w:t>
                            </w:r>
                            <w:r w:rsidRPr="00631CD5">
                              <w:rPr>
                                <w:rFonts w:ascii="Arial" w:hAnsi="Arial" w:cs="Arial"/>
                                <w:b/>
                                <w:highlight w:val="lightGray"/>
                              </w:rPr>
                              <w:t>Procediment</w:t>
                            </w:r>
                            <w:r w:rsidRPr="00631CD5">
                              <w:rPr>
                                <w:rFonts w:ascii="Arial" w:hAnsi="Arial" w:cs="Arial"/>
                                <w:b/>
                              </w:rPr>
                              <w:t>]</w:t>
                            </w:r>
                          </w:p>
                          <w:p w14:paraId="422C6EDA" w14:textId="77777777" w:rsidR="007E4464" w:rsidRPr="00631CD5" w:rsidRDefault="007E4464" w:rsidP="007E4464">
                            <w:pPr>
                              <w:spacing w:after="0"/>
                              <w:ind w:right="-62"/>
                              <w:jc w:val="both"/>
                              <w:rPr>
                                <w:rFonts w:ascii="Arial" w:hAnsi="Arial" w:cs="Arial"/>
                              </w:rPr>
                            </w:pPr>
                          </w:p>
                          <w:p w14:paraId="3DA56814" w14:textId="77777777" w:rsidR="007E4464" w:rsidRPr="00631CD5" w:rsidRDefault="007E4464" w:rsidP="007E4464">
                            <w:pPr>
                              <w:spacing w:after="0"/>
                              <w:ind w:right="-62"/>
                              <w:jc w:val="both"/>
                              <w:rPr>
                                <w:rFonts w:ascii="Arial" w:hAnsi="Arial" w:cs="Arial"/>
                              </w:rPr>
                            </w:pPr>
                            <w:r w:rsidRPr="00631CD5">
                              <w:rPr>
                                <w:rFonts w:ascii="Arial" w:hAnsi="Arial" w:cs="Arial"/>
                              </w:rPr>
                              <w:t>Exp. Núm.: [</w:t>
                            </w:r>
                            <w:r w:rsidRPr="00631CD5">
                              <w:rPr>
                                <w:rFonts w:ascii="Arial" w:hAnsi="Arial" w:cs="Arial"/>
                                <w:highlight w:val="lightGray"/>
                              </w:rPr>
                              <w:t>Número d’expedient</w:t>
                            </w:r>
                            <w:r w:rsidRPr="00631CD5">
                              <w:rPr>
                                <w:rFonts w:ascii="Arial" w:hAnsi="Arial" w:cs="Arial"/>
                              </w:rPr>
                              <w:t>]</w:t>
                            </w:r>
                          </w:p>
                          <w:p w14:paraId="0D969AAA" w14:textId="77777777" w:rsidR="007E4464" w:rsidRPr="00631CD5" w:rsidRDefault="007E4464" w:rsidP="007E4464">
                            <w:pPr>
                              <w:spacing w:after="0"/>
                              <w:ind w:right="-62"/>
                              <w:jc w:val="both"/>
                              <w:rPr>
                                <w:rFonts w:ascii="Arial" w:hAnsi="Arial" w:cs="Arial"/>
                              </w:rPr>
                            </w:pPr>
                          </w:p>
                          <w:p w14:paraId="65B8259A" w14:textId="77777777" w:rsidR="007E4464" w:rsidRPr="00631CD5" w:rsidRDefault="007E4464" w:rsidP="007E4464">
                            <w:pPr>
                              <w:spacing w:line="360" w:lineRule="auto"/>
                              <w:jc w:val="both"/>
                              <w:rPr>
                                <w:rFonts w:ascii="Arial" w:hAnsi="Arial" w:cs="Arial"/>
                              </w:rPr>
                            </w:pPr>
                            <w:r w:rsidRPr="00631CD5">
                              <w:rPr>
                                <w:rFonts w:ascii="Arial" w:hAnsi="Arial" w:cs="Arial"/>
                              </w:rPr>
                              <w:t>[</w:t>
                            </w:r>
                            <w:r w:rsidRPr="00631CD5">
                              <w:rPr>
                                <w:rFonts w:ascii="Arial" w:hAnsi="Arial" w:cs="Arial"/>
                                <w:highlight w:val="lightGray"/>
                              </w:rPr>
                              <w:t>Fets i antecedents que l’acte administratiu que volem notificar on caldrà  anonimitzar les dades dels titulars</w:t>
                            </w:r>
                            <w:r w:rsidRPr="00631CD5">
                              <w:rPr>
                                <w:rFonts w:ascii="Arial" w:hAnsi="Arial" w:cs="Arial"/>
                              </w:rPr>
                              <w:t>]</w:t>
                            </w:r>
                          </w:p>
                          <w:p w14:paraId="64876779" w14:textId="460AF6AF" w:rsidR="007E4464" w:rsidRPr="00631CD5" w:rsidRDefault="007E4464" w:rsidP="007E4464">
                            <w:pPr>
                              <w:pStyle w:val="Prrafodelista"/>
                              <w:ind w:left="0"/>
                              <w:jc w:val="both"/>
                              <w:rPr>
                                <w:rFonts w:ascii="Arial" w:hAnsi="Arial" w:cs="Arial"/>
                              </w:rPr>
                            </w:pPr>
                            <w:r w:rsidRPr="00631CD5">
                              <w:rPr>
                                <w:rFonts w:ascii="Arial" w:hAnsi="Arial" w:cs="Arial"/>
                              </w:rPr>
                              <w:t xml:space="preserve">Per això, </w:t>
                            </w:r>
                            <w:r w:rsidR="00060153" w:rsidRPr="00631CD5">
                              <w:rPr>
                                <w:rFonts w:ascii="Arial" w:hAnsi="Arial" w:cs="Arial"/>
                              </w:rPr>
                              <w:t>per mitjà d’aquest</w:t>
                            </w:r>
                            <w:r w:rsidRPr="00631CD5">
                              <w:rPr>
                                <w:rFonts w:ascii="Arial" w:hAnsi="Arial" w:cs="Arial"/>
                              </w:rPr>
                              <w:t xml:space="preserve"> anunci es notifica aquest acte administratiu a les persones que puguin tenir la condició d’interessades en aquest procediment, </w:t>
                            </w:r>
                            <w:r w:rsidR="00060153" w:rsidRPr="00631CD5">
                              <w:rPr>
                                <w:rFonts w:ascii="Arial" w:hAnsi="Arial" w:cs="Arial"/>
                              </w:rPr>
                              <w:t>i s’</w:t>
                            </w:r>
                            <w:r w:rsidRPr="00631CD5">
                              <w:rPr>
                                <w:rFonts w:ascii="Arial" w:hAnsi="Arial" w:cs="Arial"/>
                              </w:rPr>
                              <w:t>assenyala a aquest efecte que poden comparèixer a les dependències municipals per conèixer el contingut íntegre del procediment.</w:t>
                            </w:r>
                          </w:p>
                          <w:p w14:paraId="18A4F478" w14:textId="35A33C73" w:rsidR="00E55ACC" w:rsidRPr="00631CD5" w:rsidRDefault="00E55ACC" w:rsidP="00E55ACC">
                            <w:pPr>
                              <w:spacing w:line="360" w:lineRule="auto"/>
                              <w:jc w:val="both"/>
                              <w:rPr>
                                <w:rFonts w:ascii="Arial" w:hAnsi="Arial" w:cs="Arial"/>
                              </w:rPr>
                            </w:pPr>
                            <w:r w:rsidRPr="00631CD5">
                              <w:rPr>
                                <w:rFonts w:ascii="Arial" w:hAnsi="Arial" w:cs="Arial"/>
                              </w:rPr>
                              <w:t>[</w:t>
                            </w:r>
                            <w:r w:rsidRPr="00631CD5">
                              <w:rPr>
                                <w:rFonts w:ascii="Arial" w:hAnsi="Arial" w:cs="Arial"/>
                                <w:highlight w:val="lightGray"/>
                              </w:rPr>
                              <w:t>Conseqüències i efectes de la notificació, si escau.</w:t>
                            </w:r>
                            <w:r w:rsidRPr="00631CD5">
                              <w:rPr>
                                <w:rFonts w:ascii="Arial" w:hAnsi="Arial" w:cs="Arial"/>
                                <w:highlight w:val="lightGray"/>
                              </w:rPr>
                              <w:t>]</w:t>
                            </w:r>
                          </w:p>
                          <w:p w14:paraId="1FFFB3EB" w14:textId="77777777" w:rsidR="00E55ACC" w:rsidRPr="007E4464" w:rsidRDefault="00E55ACC" w:rsidP="007E4464">
                            <w:pPr>
                              <w:pStyle w:val="Prrafodelista"/>
                              <w:ind w:left="0"/>
                              <w:jc w:val="both"/>
                              <w:rPr>
                                <w:rFonts w:ascii="Arial" w:hAnsi="Arial" w:cs="Arial"/>
                                <w:sz w:val="24"/>
                                <w:szCs w:val="24"/>
                              </w:rPr>
                            </w:pPr>
                          </w:p>
                          <w:p w14:paraId="211EDEE3" w14:textId="3121AAEC" w:rsidR="007E4464" w:rsidRDefault="007E4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A9929" id="_x0000_t202" coordsize="21600,21600" o:spt="202" path="m,l,21600r21600,l21600,xe">
                <v:stroke joinstyle="miter"/>
                <v:path gradientshapeok="t" o:connecttype="rect"/>
              </v:shapetype>
              <v:shape id="Cuadro de texto 2" o:spid="_x0000_s1026" type="#_x0000_t202" style="position:absolute;left:0;text-align:left;margin-left:372.65pt;margin-top:26.2pt;width:423.85pt;height:18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">
                <v:textbox>
                  <w:txbxContent>
                    <w:p w14:paraId="5DE8AC72" w14:textId="77777777" w:rsidR="007E4464" w:rsidRPr="00631CD5" w:rsidRDefault="007E4464" w:rsidP="007E4464">
                      <w:pPr>
                        <w:spacing w:after="0"/>
                        <w:ind w:right="-62"/>
                        <w:jc w:val="center"/>
                        <w:rPr>
                          <w:rFonts w:ascii="Arial" w:hAnsi="Arial" w:cs="Arial"/>
                          <w:b/>
                        </w:rPr>
                      </w:pPr>
                      <w:r w:rsidRPr="00631CD5">
                        <w:rPr>
                          <w:rFonts w:ascii="Arial" w:hAnsi="Arial" w:cs="Arial"/>
                          <w:b/>
                        </w:rPr>
                        <w:t>ANUNCI DE NOTIFICACIÓ DE [</w:t>
                      </w:r>
                      <w:r w:rsidRPr="00631CD5">
                        <w:rPr>
                          <w:rFonts w:ascii="Arial" w:hAnsi="Arial" w:cs="Arial"/>
                          <w:b/>
                          <w:highlight w:val="lightGray"/>
                        </w:rPr>
                        <w:t>Procediment</w:t>
                      </w:r>
                      <w:r w:rsidRPr="00631CD5">
                        <w:rPr>
                          <w:rFonts w:ascii="Arial" w:hAnsi="Arial" w:cs="Arial"/>
                          <w:b/>
                        </w:rPr>
                        <w:t>]</w:t>
                      </w:r>
                    </w:p>
                    <w:p w14:paraId="422C6EDA" w14:textId="77777777" w:rsidR="007E4464" w:rsidRPr="00631CD5" w:rsidRDefault="007E4464" w:rsidP="007E4464">
                      <w:pPr>
                        <w:spacing w:after="0"/>
                        <w:ind w:right="-62"/>
                        <w:jc w:val="both"/>
                        <w:rPr>
                          <w:rFonts w:ascii="Arial" w:hAnsi="Arial" w:cs="Arial"/>
                        </w:rPr>
                      </w:pPr>
                    </w:p>
                    <w:p w14:paraId="3DA56814" w14:textId="77777777" w:rsidR="007E4464" w:rsidRPr="00631CD5" w:rsidRDefault="007E4464" w:rsidP="007E4464">
                      <w:pPr>
                        <w:spacing w:after="0"/>
                        <w:ind w:right="-62"/>
                        <w:jc w:val="both"/>
                        <w:rPr>
                          <w:rFonts w:ascii="Arial" w:hAnsi="Arial" w:cs="Arial"/>
                        </w:rPr>
                      </w:pPr>
                      <w:r w:rsidRPr="00631CD5">
                        <w:rPr>
                          <w:rFonts w:ascii="Arial" w:hAnsi="Arial" w:cs="Arial"/>
                        </w:rPr>
                        <w:t>Exp. Núm.: [</w:t>
                      </w:r>
                      <w:r w:rsidRPr="00631CD5">
                        <w:rPr>
                          <w:rFonts w:ascii="Arial" w:hAnsi="Arial" w:cs="Arial"/>
                          <w:highlight w:val="lightGray"/>
                        </w:rPr>
                        <w:t>Número d’expedient</w:t>
                      </w:r>
                      <w:r w:rsidRPr="00631CD5">
                        <w:rPr>
                          <w:rFonts w:ascii="Arial" w:hAnsi="Arial" w:cs="Arial"/>
                        </w:rPr>
                        <w:t>]</w:t>
                      </w:r>
                    </w:p>
                    <w:p w14:paraId="0D969AAA" w14:textId="77777777" w:rsidR="007E4464" w:rsidRPr="00631CD5" w:rsidRDefault="007E4464" w:rsidP="007E4464">
                      <w:pPr>
                        <w:spacing w:after="0"/>
                        <w:ind w:right="-62"/>
                        <w:jc w:val="both"/>
                        <w:rPr>
                          <w:rFonts w:ascii="Arial" w:hAnsi="Arial" w:cs="Arial"/>
                        </w:rPr>
                      </w:pPr>
                    </w:p>
                    <w:p w14:paraId="65B8259A" w14:textId="77777777" w:rsidR="007E4464" w:rsidRPr="00631CD5" w:rsidRDefault="007E4464" w:rsidP="007E4464">
                      <w:pPr>
                        <w:spacing w:line="360" w:lineRule="auto"/>
                        <w:jc w:val="both"/>
                        <w:rPr>
                          <w:rFonts w:ascii="Arial" w:hAnsi="Arial" w:cs="Arial"/>
                        </w:rPr>
                      </w:pPr>
                      <w:r w:rsidRPr="00631CD5">
                        <w:rPr>
                          <w:rFonts w:ascii="Arial" w:hAnsi="Arial" w:cs="Arial"/>
                        </w:rPr>
                        <w:t>[</w:t>
                      </w:r>
                      <w:r w:rsidRPr="00631CD5">
                        <w:rPr>
                          <w:rFonts w:ascii="Arial" w:hAnsi="Arial" w:cs="Arial"/>
                          <w:highlight w:val="lightGray"/>
                        </w:rPr>
                        <w:t>Fets i antecedents que l’acte administratiu que volem notificar on caldrà  anonimitzar les dades dels titulars</w:t>
                      </w:r>
                      <w:r w:rsidRPr="00631CD5">
                        <w:rPr>
                          <w:rFonts w:ascii="Arial" w:hAnsi="Arial" w:cs="Arial"/>
                        </w:rPr>
                        <w:t>]</w:t>
                      </w:r>
                    </w:p>
                    <w:p w14:paraId="64876779" w14:textId="460AF6AF" w:rsidR="007E4464" w:rsidRPr="00631CD5" w:rsidRDefault="007E4464" w:rsidP="007E4464">
                      <w:pPr>
                        <w:pStyle w:val="Prrafodelista"/>
                        <w:ind w:left="0"/>
                        <w:jc w:val="both"/>
                        <w:rPr>
                          <w:rFonts w:ascii="Arial" w:hAnsi="Arial" w:cs="Arial"/>
                        </w:rPr>
                      </w:pPr>
                      <w:r w:rsidRPr="00631CD5">
                        <w:rPr>
                          <w:rFonts w:ascii="Arial" w:hAnsi="Arial" w:cs="Arial"/>
                        </w:rPr>
                        <w:t xml:space="preserve">Per això, </w:t>
                      </w:r>
                      <w:r w:rsidR="00060153" w:rsidRPr="00631CD5">
                        <w:rPr>
                          <w:rFonts w:ascii="Arial" w:hAnsi="Arial" w:cs="Arial"/>
                        </w:rPr>
                        <w:t>per mitjà d’aquest</w:t>
                      </w:r>
                      <w:r w:rsidRPr="00631CD5">
                        <w:rPr>
                          <w:rFonts w:ascii="Arial" w:hAnsi="Arial" w:cs="Arial"/>
                        </w:rPr>
                        <w:t xml:space="preserve"> anunci es notifica aquest acte administratiu a les persones que puguin tenir la condició d’interessades en aquest procediment, </w:t>
                      </w:r>
                      <w:r w:rsidR="00060153" w:rsidRPr="00631CD5">
                        <w:rPr>
                          <w:rFonts w:ascii="Arial" w:hAnsi="Arial" w:cs="Arial"/>
                        </w:rPr>
                        <w:t>i s’</w:t>
                      </w:r>
                      <w:r w:rsidRPr="00631CD5">
                        <w:rPr>
                          <w:rFonts w:ascii="Arial" w:hAnsi="Arial" w:cs="Arial"/>
                        </w:rPr>
                        <w:t>assenyala a aquest efecte que poden comparèixer a les dependències municipals per conèixer el contingut íntegre del procediment.</w:t>
                      </w:r>
                    </w:p>
                    <w:p w14:paraId="18A4F478" w14:textId="35A33C73" w:rsidR="00E55ACC" w:rsidRPr="00631CD5" w:rsidRDefault="00E55ACC" w:rsidP="00E55ACC">
                      <w:pPr>
                        <w:spacing w:line="360" w:lineRule="auto"/>
                        <w:jc w:val="both"/>
                        <w:rPr>
                          <w:rFonts w:ascii="Arial" w:hAnsi="Arial" w:cs="Arial"/>
                        </w:rPr>
                      </w:pPr>
                      <w:r w:rsidRPr="00631CD5">
                        <w:rPr>
                          <w:rFonts w:ascii="Arial" w:hAnsi="Arial" w:cs="Arial"/>
                        </w:rPr>
                        <w:t>[</w:t>
                      </w:r>
                      <w:r w:rsidRPr="00631CD5">
                        <w:rPr>
                          <w:rFonts w:ascii="Arial" w:hAnsi="Arial" w:cs="Arial"/>
                          <w:highlight w:val="lightGray"/>
                        </w:rPr>
                        <w:t>Conseqüències i efectes de la notificació, si escau.</w:t>
                      </w:r>
                      <w:r w:rsidRPr="00631CD5">
                        <w:rPr>
                          <w:rFonts w:ascii="Arial" w:hAnsi="Arial" w:cs="Arial"/>
                          <w:highlight w:val="lightGray"/>
                        </w:rPr>
                        <w:t>]</w:t>
                      </w:r>
                    </w:p>
                    <w:p w14:paraId="1FFFB3EB" w14:textId="77777777" w:rsidR="00E55ACC" w:rsidRPr="007E4464" w:rsidRDefault="00E55ACC" w:rsidP="007E4464">
                      <w:pPr>
                        <w:pStyle w:val="Prrafodelista"/>
                        <w:ind w:left="0"/>
                        <w:jc w:val="both"/>
                        <w:rPr>
                          <w:rFonts w:ascii="Arial" w:hAnsi="Arial" w:cs="Arial"/>
                          <w:sz w:val="24"/>
                          <w:szCs w:val="24"/>
                        </w:rPr>
                      </w:pPr>
                    </w:p>
                    <w:p w14:paraId="211EDEE3" w14:textId="3121AAEC" w:rsidR="007E4464" w:rsidRDefault="007E4464"/>
                  </w:txbxContent>
                </v:textbox>
                <w10:wrap type="square" anchorx="margin"/>
              </v:shape>
            </w:pict>
          </mc:Fallback>
        </mc:AlternateContent>
      </w:r>
      <w:r w:rsidRPr="001F3FD1">
        <w:rPr>
          <w:rFonts w:ascii="Arial" w:hAnsi="Arial" w:cs="Arial"/>
        </w:rPr>
        <w:t>El model d’anunci de notificació tindrà la següent estructura:</w:t>
      </w:r>
    </w:p>
    <w:p w14:paraId="7AC43A95" w14:textId="173D87C6" w:rsidR="00060153" w:rsidRPr="001F3FD1" w:rsidRDefault="00F01F8C" w:rsidP="00F01F8C">
      <w:pPr>
        <w:tabs>
          <w:tab w:val="left" w:pos="0"/>
        </w:tabs>
        <w:jc w:val="both"/>
        <w:rPr>
          <w:rFonts w:ascii="Arial" w:hAnsi="Arial" w:cs="Arial"/>
        </w:rPr>
      </w:pPr>
      <w:r w:rsidRPr="001F3FD1">
        <w:rPr>
          <w:rFonts w:ascii="Arial" w:hAnsi="Arial" w:cs="Arial"/>
        </w:rPr>
        <w:t>Les normes i recomanacions que heu de tenir en compte en relació a la protecció de dades per tal que l’anunci compleixi amb tots els requeriments són:</w:t>
      </w:r>
    </w:p>
    <w:p w14:paraId="2E8E6EFA" w14:textId="6DD416D4" w:rsidR="00F01F8C" w:rsidRPr="001F3FD1" w:rsidRDefault="00F01F8C" w:rsidP="00F01F8C">
      <w:pPr>
        <w:pStyle w:val="Prrafodelista"/>
        <w:numPr>
          <w:ilvl w:val="0"/>
          <w:numId w:val="17"/>
        </w:numPr>
        <w:tabs>
          <w:tab w:val="left" w:pos="0"/>
        </w:tabs>
        <w:jc w:val="both"/>
        <w:rPr>
          <w:rFonts w:ascii="Arial" w:hAnsi="Arial" w:cs="Arial"/>
        </w:rPr>
      </w:pPr>
      <w:r w:rsidRPr="001F3FD1">
        <w:rPr>
          <w:rFonts w:ascii="Arial" w:hAnsi="Arial" w:cs="Arial"/>
        </w:rPr>
        <w:t>I</w:t>
      </w:r>
      <w:r w:rsidRPr="001F3FD1">
        <w:rPr>
          <w:rFonts w:ascii="Arial" w:hAnsi="Arial" w:cs="Arial"/>
        </w:rPr>
        <w:t>dentificarem la persona interessada exclusivament mitjançant el número complert del DNI, NIE o passaport (caràcters numèrics inclosos), sense publicar-ne el nom i cognoms.</w:t>
      </w:r>
    </w:p>
    <w:p w14:paraId="4EF3791E" w14:textId="77777777" w:rsidR="00F01F8C" w:rsidRPr="001F3FD1" w:rsidRDefault="00F01F8C" w:rsidP="00F01F8C">
      <w:pPr>
        <w:pStyle w:val="Prrafodelista"/>
        <w:tabs>
          <w:tab w:val="left" w:pos="0"/>
        </w:tabs>
        <w:jc w:val="both"/>
        <w:rPr>
          <w:rFonts w:ascii="Arial" w:hAnsi="Arial" w:cs="Arial"/>
        </w:rPr>
      </w:pPr>
    </w:p>
    <w:p w14:paraId="13742348" w14:textId="77777777" w:rsidR="00F01F8C" w:rsidRPr="001F3FD1" w:rsidRDefault="00F01F8C" w:rsidP="00F01F8C">
      <w:pPr>
        <w:pStyle w:val="Prrafodelista"/>
        <w:numPr>
          <w:ilvl w:val="0"/>
          <w:numId w:val="17"/>
        </w:numPr>
        <w:jc w:val="both"/>
        <w:rPr>
          <w:rFonts w:ascii="Arial" w:hAnsi="Arial" w:cs="Arial"/>
        </w:rPr>
      </w:pPr>
      <w:r w:rsidRPr="001F3FD1">
        <w:rPr>
          <w:rFonts w:ascii="Arial" w:hAnsi="Arial" w:cs="Arial"/>
        </w:rPr>
        <w:t>En cap cas s’ha de publicar el nom i cognoms de manera conjunta amb el número complet del DNI, NIE, passaport o document equivalent.</w:t>
      </w:r>
    </w:p>
    <w:p w14:paraId="697A44AA" w14:textId="77777777" w:rsidR="00F01F8C" w:rsidRPr="001F3FD1" w:rsidRDefault="00F01F8C" w:rsidP="00F01F8C">
      <w:pPr>
        <w:pStyle w:val="Prrafodelista"/>
        <w:rPr>
          <w:rFonts w:ascii="Arial" w:hAnsi="Arial" w:cs="Arial"/>
        </w:rPr>
      </w:pPr>
    </w:p>
    <w:p w14:paraId="12A920DA" w14:textId="77777777" w:rsidR="00F01F8C" w:rsidRPr="001F3FD1" w:rsidRDefault="00F01F8C" w:rsidP="00F01F8C">
      <w:pPr>
        <w:pStyle w:val="Prrafodelista"/>
        <w:numPr>
          <w:ilvl w:val="0"/>
          <w:numId w:val="17"/>
        </w:numPr>
        <w:jc w:val="both"/>
        <w:rPr>
          <w:rFonts w:ascii="Arial" w:hAnsi="Arial" w:cs="Arial"/>
        </w:rPr>
      </w:pPr>
      <w:r w:rsidRPr="001F3FD1">
        <w:rPr>
          <w:rFonts w:ascii="Arial" w:hAnsi="Arial" w:cs="Arial"/>
        </w:rPr>
        <w:t>En general, el RGPD no és d’aplicació a les dades de les persones difuntes, per tant podrem publicar les dades complertes, si la finalitat de l’anunci ho requereix.</w:t>
      </w:r>
    </w:p>
    <w:p w14:paraId="7D5DFEAB" w14:textId="77777777" w:rsidR="00F01F8C" w:rsidRPr="001F3FD1" w:rsidRDefault="00F01F8C" w:rsidP="00F01F8C">
      <w:pPr>
        <w:pStyle w:val="Prrafodelista"/>
        <w:rPr>
          <w:rFonts w:ascii="Arial" w:hAnsi="Arial" w:cs="Arial"/>
        </w:rPr>
      </w:pPr>
    </w:p>
    <w:p w14:paraId="19FFDE29" w14:textId="77777777" w:rsidR="00F01F8C" w:rsidRPr="001F3FD1" w:rsidRDefault="00F01F8C" w:rsidP="00F01F8C">
      <w:pPr>
        <w:pStyle w:val="Prrafodelista"/>
        <w:numPr>
          <w:ilvl w:val="0"/>
          <w:numId w:val="17"/>
        </w:numPr>
        <w:jc w:val="both"/>
        <w:rPr>
          <w:rFonts w:ascii="Arial" w:hAnsi="Arial" w:cs="Arial"/>
        </w:rPr>
      </w:pPr>
      <w:r w:rsidRPr="001F3FD1">
        <w:rPr>
          <w:rFonts w:ascii="Arial" w:hAnsi="Arial" w:cs="Arial"/>
        </w:rPr>
        <w:t>Es podrà fer referència al número d’expedient, o a altres codis o identificadors resultants del procediment, per complementar la identificació de la persona interessada o del procediment, evitan</w:t>
      </w:r>
      <w:bookmarkStart w:id="0" w:name="_GoBack"/>
      <w:r w:rsidRPr="001F3FD1">
        <w:rPr>
          <w:rFonts w:ascii="Arial" w:hAnsi="Arial" w:cs="Arial"/>
        </w:rPr>
        <w:t>t</w:t>
      </w:r>
      <w:bookmarkEnd w:id="0"/>
      <w:r w:rsidRPr="001F3FD1">
        <w:rPr>
          <w:rFonts w:ascii="Arial" w:hAnsi="Arial" w:cs="Arial"/>
        </w:rPr>
        <w:t xml:space="preserve"> així la utilització de dades personals excessives.</w:t>
      </w:r>
    </w:p>
    <w:p w14:paraId="4B5C127F" w14:textId="77777777" w:rsidR="001F3FD1" w:rsidRPr="001F3FD1" w:rsidRDefault="001F3FD1" w:rsidP="001F3FD1">
      <w:pPr>
        <w:pStyle w:val="Prrafodelista"/>
        <w:rPr>
          <w:rFonts w:ascii="Arial" w:hAnsi="Arial" w:cs="Arial"/>
        </w:rPr>
      </w:pPr>
    </w:p>
    <w:p w14:paraId="033287A8" w14:textId="77777777" w:rsidR="001F3FD1" w:rsidRPr="001F3FD1" w:rsidRDefault="001F3FD1" w:rsidP="001F3FD1">
      <w:pPr>
        <w:pStyle w:val="Prrafodelista"/>
        <w:ind w:left="0"/>
        <w:jc w:val="center"/>
        <w:rPr>
          <w:rFonts w:ascii="Arial" w:hAnsi="Arial" w:cs="Arial"/>
          <w:b/>
        </w:rPr>
      </w:pPr>
      <w:r w:rsidRPr="001F3FD1">
        <w:rPr>
          <w:rFonts w:ascii="Arial" w:hAnsi="Arial" w:cs="Arial"/>
          <w:b/>
        </w:rPr>
        <w:t>EXEMPLE D’ANUNCI DE NOTIFICACIÓ</w:t>
      </w:r>
    </w:p>
    <w:p w14:paraId="58971E52" w14:textId="77777777" w:rsidR="001F3FD1" w:rsidRPr="001F3FD1" w:rsidRDefault="001F3FD1" w:rsidP="001F3FD1">
      <w:pPr>
        <w:jc w:val="both"/>
        <w:rPr>
          <w:rFonts w:ascii="Arial" w:hAnsi="Arial" w:cs="Arial"/>
        </w:rPr>
      </w:pPr>
      <w:r w:rsidRPr="001F3FD1">
        <w:rPr>
          <w:rFonts w:ascii="Arial" w:hAnsi="Arial" w:cs="Arial"/>
        </w:rPr>
        <w:t>Cas d’una sepultura en què és procedent l’extinció del dret funerari, atès que ha transcorregut el termini de concessió i no s’ha pogut practicar la notificació a la persona titular. Donat que la publicació s’ha de practicar al BOE, hem de traduir al castellà l’anunci, que prèviament podem publicar de manera facultativa al BOPG o al DOGC. L’objectiu de l’anunci de notificació, a més de donar compliment a la normativa, és intentar localitzar altres interessats en el procediment, bàsicament pel que fa al dret a la conservació de les restes de la sepultura. Per tant, recomanem que hi constin els difunts inhumats a la sepultura. Tal com hem explicat anteriorment, la persona interessada, que en aquest cas és la que consta com a titular del nínxol, s’ha d’identificar únicament amb el seu DNI complet.</w:t>
      </w:r>
    </w:p>
    <w:p w14:paraId="3230C10C" w14:textId="77777777" w:rsidR="001F3FD1" w:rsidRPr="001F3FD1" w:rsidRDefault="001F3FD1" w:rsidP="001F3FD1">
      <w:pPr>
        <w:jc w:val="both"/>
        <w:rPr>
          <w:rFonts w:ascii="Arial" w:hAnsi="Arial" w:cs="Arial"/>
          <w:b/>
          <w:color w:val="00B050"/>
        </w:rPr>
      </w:pPr>
      <w:r w:rsidRPr="001F3FD1">
        <w:rPr>
          <w:rFonts w:ascii="Arial" w:hAnsi="Arial" w:cs="Arial"/>
          <w:b/>
          <w:color w:val="00B050"/>
        </w:rPr>
        <w:t>Anunci de notificació del Decret d’alcaldia relatiu al procediment d’extinció del dret funerari del nínxol NX-001-2 del cementiri municipal de Sant Fictici</w:t>
      </w:r>
    </w:p>
    <w:p w14:paraId="7F9EC66A" w14:textId="77777777" w:rsidR="001F3FD1" w:rsidRPr="001F3FD1" w:rsidRDefault="001F3FD1" w:rsidP="001F3FD1">
      <w:pPr>
        <w:jc w:val="both"/>
        <w:rPr>
          <w:rFonts w:ascii="Arial" w:hAnsi="Arial" w:cs="Arial"/>
          <w:color w:val="00B050"/>
        </w:rPr>
      </w:pPr>
      <w:r w:rsidRPr="001F3FD1">
        <w:rPr>
          <w:rFonts w:ascii="Arial" w:hAnsi="Arial" w:cs="Arial"/>
          <w:color w:val="00B050"/>
        </w:rPr>
        <w:t>Havent-se intentat notificar el Decret d’alcaldia núm. 1001/2022, d’1 de desembre de 2022, relatiu al procediment d’extinció del dret funerari del nínxol NX-001-2 del cementiri municipal de Sant Fictici per haver transcorregut el termini de concessió sense que hagi estat sol·licitada oportunament la renovació per mitjà d’una nova concessió, no s’ha pogut practicar la notificació a la persona titular del dret funerari de la sepultura pel fet d’estar en parador desconegut i absent del seu últim domicili conegut.</w:t>
      </w:r>
    </w:p>
    <w:p w14:paraId="63AACC34" w14:textId="77777777" w:rsidR="001F3FD1" w:rsidRPr="001F3FD1" w:rsidRDefault="001F3FD1" w:rsidP="001F3FD1">
      <w:pPr>
        <w:jc w:val="both"/>
        <w:rPr>
          <w:rFonts w:ascii="Arial" w:hAnsi="Arial" w:cs="Arial"/>
          <w:color w:val="00B050"/>
        </w:rPr>
      </w:pPr>
      <w:r w:rsidRPr="001F3FD1">
        <w:rPr>
          <w:rFonts w:ascii="Arial" w:hAnsi="Arial" w:cs="Arial"/>
          <w:color w:val="00B050"/>
        </w:rPr>
        <w:t>De conformitat amb el Reglament del servei de cementiri i amb el que estableix l’article 44 de la Llei 39/2015, d’1 d’octubre, del procediment administratiu comú de les administracions públiques, la notificació s’ha de fer per mitjà d’un anunci publicat al BOE si els interessats en un procediment són desconeguts, si s’ignora el lloc en què s’ha de practicar la notificació o bé si s’ha practicat sense èxit.</w:t>
      </w:r>
    </w:p>
    <w:p w14:paraId="14DDFC3F" w14:textId="77777777" w:rsidR="001F3FD1" w:rsidRPr="001F3FD1" w:rsidRDefault="001F3FD1" w:rsidP="001F3FD1">
      <w:pPr>
        <w:jc w:val="both"/>
        <w:rPr>
          <w:rFonts w:ascii="Arial" w:hAnsi="Arial" w:cs="Arial"/>
          <w:color w:val="00B050"/>
        </w:rPr>
      </w:pPr>
      <w:r w:rsidRPr="001F3FD1">
        <w:rPr>
          <w:rFonts w:ascii="Arial" w:hAnsi="Arial" w:cs="Arial"/>
          <w:color w:val="00B050"/>
        </w:rPr>
        <w:t>En relació amb el nínxol NX-001-2 del cementiri municipal de Sant Fictici, al llibre de registre del cementiri consten, quant a la concessió del dret funerari, les dades següents:</w:t>
      </w:r>
    </w:p>
    <w:p w14:paraId="08BFE453"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DNI del titular de la concessió: 99999999R</w:t>
      </w:r>
    </w:p>
    <w:p w14:paraId="44A70ABC"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Data d’inici de la concessió: 1 d’octubre de 1972</w:t>
      </w:r>
    </w:p>
    <w:p w14:paraId="5753AC2E"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Durada de la concessió: 50 anys</w:t>
      </w:r>
    </w:p>
    <w:p w14:paraId="40015167"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Fi de la concessió: 1 d’octubre de 2022</w:t>
      </w:r>
    </w:p>
    <w:p w14:paraId="7C88F0A4" w14:textId="77777777" w:rsidR="001F3FD1" w:rsidRDefault="001F3FD1" w:rsidP="00BA24A4">
      <w:pPr>
        <w:spacing w:after="0"/>
        <w:jc w:val="both"/>
        <w:rPr>
          <w:rFonts w:ascii="Arial" w:hAnsi="Arial" w:cs="Arial"/>
          <w:color w:val="00B050"/>
        </w:rPr>
      </w:pPr>
    </w:p>
    <w:p w14:paraId="511CC73B"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Al nínxol esmentat s’han practicat les inhumacions següents:</w:t>
      </w:r>
    </w:p>
    <w:p w14:paraId="58141632"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12 de novembre de 1972: Jan Pi Net</w:t>
      </w:r>
    </w:p>
    <w:p w14:paraId="15A46E5C" w14:textId="77777777" w:rsidR="001F3FD1" w:rsidRPr="001F3FD1" w:rsidRDefault="001F3FD1" w:rsidP="001F3FD1">
      <w:pPr>
        <w:spacing w:after="0"/>
        <w:jc w:val="both"/>
        <w:rPr>
          <w:rFonts w:ascii="Arial" w:hAnsi="Arial" w:cs="Arial"/>
          <w:color w:val="00B050"/>
        </w:rPr>
      </w:pPr>
      <w:r w:rsidRPr="001F3FD1">
        <w:rPr>
          <w:rFonts w:ascii="Arial" w:hAnsi="Arial" w:cs="Arial"/>
          <w:color w:val="00B050"/>
        </w:rPr>
        <w:t>8 de maig de 2001: Nil Peu Ma</w:t>
      </w:r>
    </w:p>
    <w:p w14:paraId="6B42E7F6" w14:textId="77777777" w:rsidR="001F3FD1" w:rsidRDefault="001F3FD1" w:rsidP="001F3FD1">
      <w:pPr>
        <w:spacing w:after="0"/>
        <w:jc w:val="both"/>
        <w:rPr>
          <w:rFonts w:ascii="Arial" w:hAnsi="Arial" w:cs="Arial"/>
          <w:color w:val="00B050"/>
        </w:rPr>
      </w:pPr>
    </w:p>
    <w:p w14:paraId="567E3F20" w14:textId="77777777" w:rsidR="001F3FD1" w:rsidRPr="001F3FD1" w:rsidRDefault="001F3FD1" w:rsidP="001F3FD1">
      <w:pPr>
        <w:jc w:val="both"/>
        <w:rPr>
          <w:rFonts w:ascii="Arial" w:hAnsi="Arial" w:cs="Arial"/>
          <w:color w:val="00B050"/>
        </w:rPr>
      </w:pPr>
      <w:r w:rsidRPr="001F3FD1">
        <w:rPr>
          <w:rFonts w:ascii="Arial" w:hAnsi="Arial" w:cs="Arial"/>
          <w:color w:val="00B050"/>
        </w:rPr>
        <w:t>Per això, per mitjà d’aquest anunci es notifica aquest acte administratiu a les persones que puguin tenir la condició d’interessades en aquest procediment, i s’assenyala a aquest efecte que poden comparèixer a les dependències municipals per conèixer el contingut íntegre del procediment.</w:t>
      </w:r>
    </w:p>
    <w:p w14:paraId="2CEA5770" w14:textId="77777777" w:rsidR="001F3FD1" w:rsidRPr="001F3FD1" w:rsidRDefault="001F3FD1" w:rsidP="001F3FD1">
      <w:pPr>
        <w:jc w:val="both"/>
        <w:rPr>
          <w:rFonts w:ascii="Arial" w:hAnsi="Arial" w:cs="Arial"/>
          <w:color w:val="00B050"/>
        </w:rPr>
      </w:pPr>
      <w:r w:rsidRPr="001F3FD1">
        <w:rPr>
          <w:rFonts w:ascii="Arial" w:hAnsi="Arial" w:cs="Arial"/>
          <w:color w:val="00B050"/>
        </w:rPr>
        <w:t>En cas que l’extinció del dret funerari es faci efectiva, s’hauran d’exhumar les restes de la sepultura, que seran traslladades a l’ossera general, d’acord amb el que estableix el Decret 297/1997, de 25 de novembre, pel qual s’aprova el Reglament de policia sanitària mortuòria i el Reglament del servei de cementiri, i el nínxol revertirà a favor de l’Ajuntament, que podrà concedir-ne noves concessions.</w:t>
      </w:r>
    </w:p>
    <w:sectPr w:rsidR="001F3FD1" w:rsidRPr="001F3F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4862" w14:textId="77777777" w:rsidR="00396965" w:rsidRDefault="00396965" w:rsidP="00760838">
      <w:pPr>
        <w:spacing w:after="0" w:line="240" w:lineRule="auto"/>
      </w:pPr>
      <w:r>
        <w:separator/>
      </w:r>
    </w:p>
  </w:endnote>
  <w:endnote w:type="continuationSeparator" w:id="0">
    <w:p w14:paraId="610945B4" w14:textId="77777777" w:rsidR="00396965" w:rsidRDefault="00396965" w:rsidP="0076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432A" w14:textId="77777777" w:rsidR="00396965" w:rsidRDefault="00396965" w:rsidP="00760838">
      <w:pPr>
        <w:spacing w:after="0" w:line="240" w:lineRule="auto"/>
      </w:pPr>
      <w:r>
        <w:separator/>
      </w:r>
    </w:p>
  </w:footnote>
  <w:footnote w:type="continuationSeparator" w:id="0">
    <w:p w14:paraId="280061AC" w14:textId="77777777" w:rsidR="00396965" w:rsidRDefault="00396965" w:rsidP="00760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C89"/>
    <w:multiLevelType w:val="hybridMultilevel"/>
    <w:tmpl w:val="15ACCAA0"/>
    <w:lvl w:ilvl="0" w:tplc="94B2FBB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86A7824"/>
    <w:multiLevelType w:val="multilevel"/>
    <w:tmpl w:val="B9EAD1D6"/>
    <w:lvl w:ilvl="0">
      <w:start w:val="1"/>
      <w:numFmt w:val="decimal"/>
      <w:lvlText w:val="%1."/>
      <w:lvlJc w:val="left"/>
      <w:pPr>
        <w:ind w:left="927" w:hanging="360"/>
      </w:pPr>
      <w:rPr>
        <w:b/>
        <w:sz w:val="24"/>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2" w15:restartNumberingAfterBreak="0">
    <w:nsid w:val="0A9408CD"/>
    <w:multiLevelType w:val="multilevel"/>
    <w:tmpl w:val="EA7E841A"/>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D5A2C58"/>
    <w:multiLevelType w:val="hybridMultilevel"/>
    <w:tmpl w:val="BD1A3D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BC5E41"/>
    <w:multiLevelType w:val="hybridMultilevel"/>
    <w:tmpl w:val="2004B3EC"/>
    <w:lvl w:ilvl="0" w:tplc="9FC0187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63ACF"/>
    <w:multiLevelType w:val="hybridMultilevel"/>
    <w:tmpl w:val="2B4C7FD0"/>
    <w:lvl w:ilvl="0" w:tplc="427E3882">
      <w:start w:val="1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E28609C"/>
    <w:multiLevelType w:val="multilevel"/>
    <w:tmpl w:val="C450DDD4"/>
    <w:lvl w:ilvl="0">
      <w:start w:val="1"/>
      <w:numFmt w:val="decimal"/>
      <w:lvlText w:val="%1."/>
      <w:lvlJc w:val="left"/>
      <w:pPr>
        <w:ind w:left="1065" w:hanging="705"/>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32157F89"/>
    <w:multiLevelType w:val="hybridMultilevel"/>
    <w:tmpl w:val="4808EA46"/>
    <w:lvl w:ilvl="0" w:tplc="F0546CB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2BD4319"/>
    <w:multiLevelType w:val="hybridMultilevel"/>
    <w:tmpl w:val="0F5CB4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DF7779"/>
    <w:multiLevelType w:val="hybridMultilevel"/>
    <w:tmpl w:val="8A9891EC"/>
    <w:lvl w:ilvl="0" w:tplc="9E30080A">
      <w:start w:val="1"/>
      <w:numFmt w:val="lowerLetter"/>
      <w:pStyle w:val="Esti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C928D6"/>
    <w:multiLevelType w:val="hybridMultilevel"/>
    <w:tmpl w:val="73B08974"/>
    <w:lvl w:ilvl="0" w:tplc="77CA0544">
      <w:start w:val="1"/>
      <w:numFmt w:val="lowerLetter"/>
      <w:lvlText w:val="%1)"/>
      <w:lvlJc w:val="left"/>
      <w:pPr>
        <w:ind w:left="720" w:hanging="360"/>
      </w:pPr>
      <w:rPr>
        <w:rFonts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8ED61D4"/>
    <w:multiLevelType w:val="hybridMultilevel"/>
    <w:tmpl w:val="7D2A45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7C02750"/>
    <w:multiLevelType w:val="hybridMultilevel"/>
    <w:tmpl w:val="34167DB8"/>
    <w:lvl w:ilvl="0" w:tplc="41FE24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636221"/>
    <w:multiLevelType w:val="hybridMultilevel"/>
    <w:tmpl w:val="9D80D584"/>
    <w:lvl w:ilvl="0" w:tplc="A1D28364">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B116698"/>
    <w:multiLevelType w:val="hybridMultilevel"/>
    <w:tmpl w:val="2F58A20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B3541A9"/>
    <w:multiLevelType w:val="hybridMultilevel"/>
    <w:tmpl w:val="EDBCDBC8"/>
    <w:lvl w:ilvl="0" w:tplc="485C6BE0">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2F4C"/>
    <w:multiLevelType w:val="hybridMultilevel"/>
    <w:tmpl w:val="E4BED37A"/>
    <w:lvl w:ilvl="0" w:tplc="00783446">
      <w:start w:val="1"/>
      <w:numFmt w:val="lowerLetter"/>
      <w:lvlText w:val="%1)"/>
      <w:lvlJc w:val="left"/>
      <w:pPr>
        <w:ind w:left="720" w:hanging="360"/>
      </w:pPr>
      <w:rPr>
        <w:rFonts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75C57FC"/>
    <w:multiLevelType w:val="hybridMultilevel"/>
    <w:tmpl w:val="1CBA65BE"/>
    <w:lvl w:ilvl="0" w:tplc="93D6E48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7"/>
  </w:num>
  <w:num w:numId="10">
    <w:abstractNumId w:val="17"/>
  </w:num>
  <w:num w:numId="11">
    <w:abstractNumId w:val="8"/>
  </w:num>
  <w:num w:numId="12">
    <w:abstractNumId w:val="5"/>
  </w:num>
  <w:num w:numId="13">
    <w:abstractNumId w:val="10"/>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40"/>
    <w:rsid w:val="000144C8"/>
    <w:rsid w:val="000470CD"/>
    <w:rsid w:val="00060153"/>
    <w:rsid w:val="00067178"/>
    <w:rsid w:val="00072C4A"/>
    <w:rsid w:val="0009025D"/>
    <w:rsid w:val="000A16A1"/>
    <w:rsid w:val="000C737E"/>
    <w:rsid w:val="000E303B"/>
    <w:rsid w:val="000F2959"/>
    <w:rsid w:val="00136FCD"/>
    <w:rsid w:val="00144177"/>
    <w:rsid w:val="00150D9A"/>
    <w:rsid w:val="001C2F81"/>
    <w:rsid w:val="001E0591"/>
    <w:rsid w:val="001F3FD1"/>
    <w:rsid w:val="00212D40"/>
    <w:rsid w:val="00231659"/>
    <w:rsid w:val="00263DB7"/>
    <w:rsid w:val="002816DA"/>
    <w:rsid w:val="00295EDA"/>
    <w:rsid w:val="002E14C6"/>
    <w:rsid w:val="002F70FD"/>
    <w:rsid w:val="00300799"/>
    <w:rsid w:val="003215EF"/>
    <w:rsid w:val="0037317C"/>
    <w:rsid w:val="00396965"/>
    <w:rsid w:val="003A73F2"/>
    <w:rsid w:val="003F7730"/>
    <w:rsid w:val="0040365B"/>
    <w:rsid w:val="00411083"/>
    <w:rsid w:val="00411AFF"/>
    <w:rsid w:val="0045344D"/>
    <w:rsid w:val="00453B07"/>
    <w:rsid w:val="004B5470"/>
    <w:rsid w:val="004E1C9A"/>
    <w:rsid w:val="0053568F"/>
    <w:rsid w:val="00546C4B"/>
    <w:rsid w:val="00564230"/>
    <w:rsid w:val="00564987"/>
    <w:rsid w:val="005A3AE9"/>
    <w:rsid w:val="005C7092"/>
    <w:rsid w:val="005D2951"/>
    <w:rsid w:val="005D39E8"/>
    <w:rsid w:val="00631CD5"/>
    <w:rsid w:val="00693CC3"/>
    <w:rsid w:val="006C50C2"/>
    <w:rsid w:val="006E4FCF"/>
    <w:rsid w:val="006F44E0"/>
    <w:rsid w:val="00755C5D"/>
    <w:rsid w:val="00760838"/>
    <w:rsid w:val="00762332"/>
    <w:rsid w:val="007833C6"/>
    <w:rsid w:val="007D54FE"/>
    <w:rsid w:val="007E4464"/>
    <w:rsid w:val="00807BAA"/>
    <w:rsid w:val="008A52C2"/>
    <w:rsid w:val="008C2656"/>
    <w:rsid w:val="008C2E39"/>
    <w:rsid w:val="008D3626"/>
    <w:rsid w:val="0090641D"/>
    <w:rsid w:val="00926F69"/>
    <w:rsid w:val="0097481C"/>
    <w:rsid w:val="00991C42"/>
    <w:rsid w:val="00995B33"/>
    <w:rsid w:val="009C7900"/>
    <w:rsid w:val="00A17B2E"/>
    <w:rsid w:val="00A24E99"/>
    <w:rsid w:val="00A43E0C"/>
    <w:rsid w:val="00A45604"/>
    <w:rsid w:val="00A71E88"/>
    <w:rsid w:val="00AA5F36"/>
    <w:rsid w:val="00AC6319"/>
    <w:rsid w:val="00AF5403"/>
    <w:rsid w:val="00B04EEB"/>
    <w:rsid w:val="00B13F92"/>
    <w:rsid w:val="00B63318"/>
    <w:rsid w:val="00B65548"/>
    <w:rsid w:val="00B9141E"/>
    <w:rsid w:val="00BA24A4"/>
    <w:rsid w:val="00BC4AA2"/>
    <w:rsid w:val="00BC5F01"/>
    <w:rsid w:val="00BF119E"/>
    <w:rsid w:val="00C31E93"/>
    <w:rsid w:val="00C54EDE"/>
    <w:rsid w:val="00C76BF2"/>
    <w:rsid w:val="00CB3157"/>
    <w:rsid w:val="00CB6B28"/>
    <w:rsid w:val="00D1296A"/>
    <w:rsid w:val="00E55ACC"/>
    <w:rsid w:val="00ED0179"/>
    <w:rsid w:val="00EF1114"/>
    <w:rsid w:val="00F01F8C"/>
    <w:rsid w:val="00F14969"/>
    <w:rsid w:val="00F84154"/>
    <w:rsid w:val="00F95DD8"/>
    <w:rsid w:val="00FD011C"/>
    <w:rsid w:val="00FD689F"/>
    <w:rsid w:val="00FF3E1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52AB"/>
  <w15:chartTrackingRefBased/>
  <w15:docId w15:val="{43C20A9C-6C10-427D-8376-88E2F0E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26"/>
    <w:rPr>
      <w:rFonts w:ascii="Calibri" w:eastAsia="Calibri" w:hAnsi="Calibri" w:cs="Calibri"/>
      <w:lang w:eastAsia="ca-ES"/>
    </w:rPr>
  </w:style>
  <w:style w:type="paragraph" w:styleId="Ttulo1">
    <w:name w:val="heading 1"/>
    <w:basedOn w:val="Normal"/>
    <w:next w:val="Normal"/>
    <w:link w:val="Ttulo1Car"/>
    <w:uiPriority w:val="9"/>
    <w:qFormat/>
    <w:rsid w:val="00067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7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qFormat/>
    <w:rsid w:val="00067178"/>
    <w:rPr>
      <w:rFonts w:ascii="Arial" w:hAnsi="Arial"/>
      <w:b/>
      <w:color w:val="auto"/>
      <w:sz w:val="24"/>
      <w:u w:val="single"/>
    </w:rPr>
  </w:style>
  <w:style w:type="character" w:customStyle="1" w:styleId="Ttulo1Car">
    <w:name w:val="Título 1 Car"/>
    <w:basedOn w:val="Fuentedeprrafopredeter"/>
    <w:link w:val="Ttulo1"/>
    <w:uiPriority w:val="9"/>
    <w:rsid w:val="00067178"/>
    <w:rPr>
      <w:rFonts w:asciiTheme="majorHAnsi" w:eastAsiaTheme="majorEastAsia" w:hAnsiTheme="majorHAnsi" w:cstheme="majorBidi"/>
      <w:color w:val="2E74B5" w:themeColor="accent1" w:themeShade="BF"/>
      <w:sz w:val="32"/>
      <w:szCs w:val="32"/>
    </w:rPr>
  </w:style>
  <w:style w:type="paragraph" w:customStyle="1" w:styleId="Estilo2">
    <w:name w:val="Estilo2"/>
    <w:basedOn w:val="Ttulo2"/>
    <w:qFormat/>
    <w:rsid w:val="00067178"/>
    <w:pPr>
      <w:numPr>
        <w:numId w:val="1"/>
      </w:numPr>
      <w:jc w:val="both"/>
    </w:pPr>
    <w:rPr>
      <w:rFonts w:ascii="Arial" w:hAnsi="Arial" w:cs="Arial"/>
      <w:b/>
      <w:color w:val="auto"/>
      <w:sz w:val="24"/>
    </w:rPr>
  </w:style>
  <w:style w:type="character" w:customStyle="1" w:styleId="Ttulo2Car">
    <w:name w:val="Título 2 Car"/>
    <w:basedOn w:val="Fuentedeprrafopredeter"/>
    <w:link w:val="Ttulo2"/>
    <w:uiPriority w:val="9"/>
    <w:semiHidden/>
    <w:rsid w:val="0006717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D3626"/>
    <w:pPr>
      <w:ind w:left="720"/>
      <w:contextualSpacing/>
    </w:pPr>
  </w:style>
  <w:style w:type="table" w:styleId="Tablaconcuadrcula">
    <w:name w:val="Table Grid"/>
    <w:basedOn w:val="Tablanormal"/>
    <w:uiPriority w:val="39"/>
    <w:rsid w:val="008D3626"/>
    <w:pPr>
      <w:spacing w:after="0" w:line="240" w:lineRule="auto"/>
    </w:pPr>
    <w:rPr>
      <w:rFonts w:ascii="Calibri" w:eastAsia="Calibri" w:hAnsi="Calibri" w:cs="Calibri"/>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760838"/>
    <w:pPr>
      <w:spacing w:after="0" w:line="240" w:lineRule="auto"/>
    </w:pPr>
    <w:rPr>
      <w:sz w:val="20"/>
      <w:szCs w:val="20"/>
    </w:rPr>
  </w:style>
  <w:style w:type="character" w:customStyle="1" w:styleId="TextonotapieCar">
    <w:name w:val="Texto nota pie Car"/>
    <w:basedOn w:val="Fuentedeprrafopredeter"/>
    <w:link w:val="Textonotapie"/>
    <w:uiPriority w:val="99"/>
    <w:rsid w:val="00760838"/>
    <w:rPr>
      <w:rFonts w:ascii="Calibri" w:eastAsia="Calibri" w:hAnsi="Calibri" w:cs="Calibri"/>
      <w:sz w:val="20"/>
      <w:szCs w:val="20"/>
      <w:lang w:eastAsia="ca-ES"/>
    </w:rPr>
  </w:style>
  <w:style w:type="character" w:styleId="Refdenotaalpie">
    <w:name w:val="footnote reference"/>
    <w:basedOn w:val="Fuentedeprrafopredeter"/>
    <w:uiPriority w:val="99"/>
    <w:semiHidden/>
    <w:unhideWhenUsed/>
    <w:rsid w:val="00760838"/>
    <w:rPr>
      <w:vertAlign w:val="superscript"/>
    </w:rPr>
  </w:style>
  <w:style w:type="character" w:styleId="Refdecomentario">
    <w:name w:val="annotation reference"/>
    <w:basedOn w:val="Fuentedeprrafopredeter"/>
    <w:uiPriority w:val="99"/>
    <w:semiHidden/>
    <w:unhideWhenUsed/>
    <w:rsid w:val="00755C5D"/>
    <w:rPr>
      <w:sz w:val="16"/>
      <w:szCs w:val="16"/>
    </w:rPr>
  </w:style>
  <w:style w:type="paragraph" w:styleId="Textocomentario">
    <w:name w:val="annotation text"/>
    <w:basedOn w:val="Normal"/>
    <w:link w:val="TextocomentarioCar"/>
    <w:uiPriority w:val="99"/>
    <w:unhideWhenUsed/>
    <w:rsid w:val="00755C5D"/>
    <w:pPr>
      <w:spacing w:line="240" w:lineRule="auto"/>
    </w:pPr>
    <w:rPr>
      <w:sz w:val="20"/>
      <w:szCs w:val="20"/>
    </w:rPr>
  </w:style>
  <w:style w:type="character" w:customStyle="1" w:styleId="TextocomentarioCar">
    <w:name w:val="Texto comentario Car"/>
    <w:basedOn w:val="Fuentedeprrafopredeter"/>
    <w:link w:val="Textocomentario"/>
    <w:uiPriority w:val="99"/>
    <w:rsid w:val="00755C5D"/>
    <w:rPr>
      <w:rFonts w:ascii="Calibri" w:eastAsia="Calibri" w:hAnsi="Calibri" w:cs="Calibri"/>
      <w:sz w:val="20"/>
      <w:szCs w:val="20"/>
      <w:lang w:eastAsia="ca-ES"/>
    </w:rPr>
  </w:style>
  <w:style w:type="paragraph" w:styleId="Textodeglobo">
    <w:name w:val="Balloon Text"/>
    <w:basedOn w:val="Normal"/>
    <w:link w:val="TextodegloboCar"/>
    <w:uiPriority w:val="99"/>
    <w:semiHidden/>
    <w:unhideWhenUsed/>
    <w:rsid w:val="00755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C5D"/>
    <w:rPr>
      <w:rFonts w:ascii="Segoe UI" w:eastAsia="Calibri" w:hAnsi="Segoe UI" w:cs="Segoe UI"/>
      <w:sz w:val="18"/>
      <w:szCs w:val="18"/>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8296-EBBD-4062-AA8D-C3C97628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Malagelada</dc:creator>
  <cp:keywords/>
  <dc:description/>
  <cp:lastModifiedBy>Roser Malagelada</cp:lastModifiedBy>
  <cp:revision>3</cp:revision>
  <cp:lastPrinted>2022-05-04T07:07:00Z</cp:lastPrinted>
  <dcterms:created xsi:type="dcterms:W3CDTF">2022-12-29T10:22:00Z</dcterms:created>
  <dcterms:modified xsi:type="dcterms:W3CDTF">2022-12-29T10:23:00Z</dcterms:modified>
</cp:coreProperties>
</file>